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DB171" w14:textId="77777777" w:rsidR="002E725F" w:rsidRPr="002E725F" w:rsidRDefault="002E725F" w:rsidP="002E725F">
      <w:pPr>
        <w:spacing w:before="161" w:after="161"/>
        <w:outlineLvl w:val="0"/>
        <w:rPr>
          <w:rFonts w:ascii="Times New Roman" w:eastAsia="Times New Roman" w:hAnsi="Times New Roman" w:cs="Times New Roman"/>
          <w:color w:val="000000" w:themeColor="text1"/>
          <w:kern w:val="36"/>
        </w:rPr>
      </w:pPr>
      <w:r w:rsidRPr="002E725F">
        <w:rPr>
          <w:rFonts w:ascii="Times New Roman" w:eastAsia="Times New Roman" w:hAnsi="Times New Roman" w:cs="Times New Roman"/>
          <w:color w:val="000000" w:themeColor="text1"/>
          <w:kern w:val="36"/>
        </w:rPr>
        <w:t>HCM565 – Healthcare Finance</w:t>
      </w:r>
    </w:p>
    <w:p w14:paraId="4A5CF0BA" w14:textId="77777777" w:rsidR="002E725F" w:rsidRPr="002E725F" w:rsidRDefault="002E725F" w:rsidP="002E725F">
      <w:pPr>
        <w:spacing w:before="100" w:beforeAutospacing="1" w:after="100" w:afterAutospacing="1"/>
        <w:outlineLvl w:val="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Module 4: Time Value of Money</w:t>
      </w:r>
    </w:p>
    <w:p w14:paraId="5A29647B" w14:textId="77777777" w:rsidR="002E725F" w:rsidRPr="002E725F" w:rsidRDefault="002E725F" w:rsidP="002E725F">
      <w:pPr>
        <w:pBdr>
          <w:bottom w:val="single" w:sz="6" w:space="9" w:color="989898"/>
        </w:pBdr>
        <w:spacing w:before="100" w:beforeAutospacing="1" w:after="100" w:afterAutospacing="1"/>
        <w:textAlignment w:val="top"/>
        <w:outlineLvl w:val="1"/>
        <w:rPr>
          <w:rFonts w:ascii="Times New Roman" w:eastAsia="Times New Roman" w:hAnsi="Times New Roman" w:cs="Times New Roman"/>
          <w:color w:val="FF0000"/>
        </w:rPr>
      </w:pPr>
      <w:r w:rsidRPr="002E725F">
        <w:rPr>
          <w:rFonts w:ascii="Times New Roman" w:eastAsia="Times New Roman" w:hAnsi="Times New Roman" w:cs="Times New Roman"/>
          <w:color w:val="FF0000"/>
        </w:rPr>
        <w:t>1. Present and Future Value Lump Sum Analysis</w:t>
      </w:r>
    </w:p>
    <w:p w14:paraId="0100A2D2" w14:textId="77777777" w:rsidR="002E725F" w:rsidRPr="002E725F" w:rsidRDefault="002E725F" w:rsidP="002E725F">
      <w:pPr>
        <w:spacing w:before="100" w:beforeAutospacing="1" w:after="100" w:afterAutospacing="1"/>
        <w:textAlignment w:val="top"/>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In finance, one of the key concepts to understand is the time value of money. The riyal (or dollar) is more valuable today than it is tomorrow, and the further into the future we go, the less that money is worth. A riyal can be invested today, earn interest, and be more valuable tomorrow. Inflation can also make money less valuable in the future. </w:t>
      </w:r>
    </w:p>
    <w:p w14:paraId="1073077E" w14:textId="77777777" w:rsidR="002E725F" w:rsidRPr="002E725F" w:rsidRDefault="002E725F" w:rsidP="002E725F">
      <w:pPr>
        <w:spacing w:before="100" w:beforeAutospacing="1" w:after="100" w:afterAutospacing="1"/>
        <w:textAlignment w:val="top"/>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 xml:space="preserve">While the Western perspective assigns a rate of interest to the computations, the idea of there being a time value to money is not prohibited in Islam (Hamza &amp; </w:t>
      </w:r>
      <w:proofErr w:type="spellStart"/>
      <w:r w:rsidRPr="002E725F">
        <w:rPr>
          <w:rFonts w:ascii="Times New Roman" w:eastAsia="Times New Roman" w:hAnsi="Times New Roman" w:cs="Times New Roman"/>
          <w:color w:val="000000" w:themeColor="text1"/>
        </w:rPr>
        <w:t>Jedidia</w:t>
      </w:r>
      <w:proofErr w:type="spellEnd"/>
      <w:r w:rsidRPr="002E725F">
        <w:rPr>
          <w:rFonts w:ascii="Times New Roman" w:eastAsia="Times New Roman" w:hAnsi="Times New Roman" w:cs="Times New Roman"/>
          <w:color w:val="000000" w:themeColor="text1"/>
        </w:rPr>
        <w:t xml:space="preserve">, 2017) using the perspectives of “economic time value and social time value” (p. 20). Rather than thinking in terms of making money on money or making money on time, consider the use of the money as it is associated with real activity or in terms of the difference in what the money can buy today versus what it can buy next year (or in 10 years). If the investor is giving up the opportunity to invest the money today in exchange for money in the future, what other economic choice could have been made in another sector? There is a correlation between the time preferences of different projects (Hamza &amp; </w:t>
      </w:r>
      <w:proofErr w:type="spellStart"/>
      <w:r w:rsidRPr="002E725F">
        <w:rPr>
          <w:rFonts w:ascii="Times New Roman" w:eastAsia="Times New Roman" w:hAnsi="Times New Roman" w:cs="Times New Roman"/>
          <w:color w:val="000000" w:themeColor="text1"/>
        </w:rPr>
        <w:t>Jedidia</w:t>
      </w:r>
      <w:proofErr w:type="spellEnd"/>
      <w:r w:rsidRPr="002E725F">
        <w:rPr>
          <w:rFonts w:ascii="Times New Roman" w:eastAsia="Times New Roman" w:hAnsi="Times New Roman" w:cs="Times New Roman"/>
          <w:color w:val="000000" w:themeColor="text1"/>
        </w:rPr>
        <w:t xml:space="preserve">, 2017) and investors (and financial managers) </w:t>
      </w:r>
      <w:proofErr w:type="gramStart"/>
      <w:r w:rsidRPr="002E725F">
        <w:rPr>
          <w:rFonts w:ascii="Times New Roman" w:eastAsia="Times New Roman" w:hAnsi="Times New Roman" w:cs="Times New Roman"/>
          <w:color w:val="000000" w:themeColor="text1"/>
        </w:rPr>
        <w:t>have to</w:t>
      </w:r>
      <w:proofErr w:type="gramEnd"/>
      <w:r w:rsidRPr="002E725F">
        <w:rPr>
          <w:rFonts w:ascii="Times New Roman" w:eastAsia="Times New Roman" w:hAnsi="Times New Roman" w:cs="Times New Roman"/>
          <w:color w:val="000000" w:themeColor="text1"/>
        </w:rPr>
        <w:t xml:space="preserve"> determine the value of those projects.</w:t>
      </w:r>
    </w:p>
    <w:p w14:paraId="27F31EE7" w14:textId="77777777" w:rsidR="002E725F" w:rsidRPr="002E725F" w:rsidRDefault="002E725F" w:rsidP="002E725F">
      <w:pPr>
        <w:spacing w:before="100" w:beforeAutospacing="1" w:after="100" w:afterAutospacing="1"/>
        <w:textAlignment w:val="top"/>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As the Kingdom of Saudi Arabia desires to attract more private investment in the healthcare sector, the difference in financial perspectives must be considered. However, for purposes of financial management the manager needs to understand the Western methods for financial calculations. This module provides the opportunity to practice those.</w:t>
      </w:r>
    </w:p>
    <w:p w14:paraId="34F556C1" w14:textId="430DE93E" w:rsidR="002E725F" w:rsidRPr="002E725F" w:rsidRDefault="002E725F" w:rsidP="002E725F">
      <w:pPr>
        <w:spacing w:before="100" w:beforeAutospacing="1" w:after="100" w:afterAutospacing="1"/>
        <w:textAlignment w:val="top"/>
        <w:rPr>
          <w:rFonts w:ascii="Times New Roman" w:eastAsia="Times New Roman" w:hAnsi="Times New Roman" w:cs="Times New Roman"/>
          <w:color w:val="FF0000"/>
        </w:rPr>
      </w:pPr>
      <w:r w:rsidRPr="002E725F">
        <w:rPr>
          <w:rFonts w:ascii="Times New Roman" w:eastAsia="Times New Roman" w:hAnsi="Times New Roman" w:cs="Times New Roman"/>
          <w:i/>
          <w:iCs/>
          <w:color w:val="FF0000"/>
        </w:rPr>
        <w:t>for more information about inflation and its ramifications:</w:t>
      </w:r>
    </w:p>
    <w:p w14:paraId="1DBEF217"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i/>
          <w:iCs/>
          <w:color w:val="000000" w:themeColor="text1"/>
        </w:rPr>
        <w:t>Inflation</w:t>
      </w:r>
      <w:r w:rsidRPr="002E725F">
        <w:rPr>
          <w:rFonts w:ascii="Times New Roman" w:eastAsia="Times New Roman" w:hAnsi="Times New Roman" w:cs="Times New Roman"/>
          <w:color w:val="000000" w:themeColor="text1"/>
        </w:rPr>
        <w:t> is normally defined as an increase in the prices of goods or services (Chen, 2019).</w:t>
      </w:r>
    </w:p>
    <w:p w14:paraId="09EA3745"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Most countries have monetary policies in place that try to limit the negative impacts that occur when inflation rises too quickly. In essence, financial institutions try to regulate interest rates to maintain an annual inflation rate of 2% to 3%.</w:t>
      </w:r>
    </w:p>
    <w:p w14:paraId="34E08200"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 xml:space="preserve">As prices inflate, the cost of doing business increases year after year. Employees normally demand a wage increase that either matches or goes beyond the impact of annual inflation. As such, </w:t>
      </w:r>
      <w:proofErr w:type="gramStart"/>
      <w:r w:rsidRPr="002E725F">
        <w:rPr>
          <w:rFonts w:ascii="Times New Roman" w:eastAsia="Times New Roman" w:hAnsi="Times New Roman" w:cs="Times New Roman"/>
          <w:color w:val="000000" w:themeColor="text1"/>
        </w:rPr>
        <w:t>more often than not</w:t>
      </w:r>
      <w:proofErr w:type="gramEnd"/>
      <w:r w:rsidRPr="002E725F">
        <w:rPr>
          <w:rFonts w:ascii="Times New Roman" w:eastAsia="Times New Roman" w:hAnsi="Times New Roman" w:cs="Times New Roman"/>
          <w:color w:val="000000" w:themeColor="text1"/>
        </w:rPr>
        <w:t>, organizations must increase the cost of their products or services.</w:t>
      </w:r>
    </w:p>
    <w:p w14:paraId="36A74F13"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To highlight the impact of inflation on one U.S. dollar, in 10 years (with a 3% inflation rate), that same dollar is only worth 74 cents.</w:t>
      </w:r>
    </w:p>
    <w:p w14:paraId="7B42A55B"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In healthcare, the costs of services are normally regulated by government agencies, and an increase must normally be approved.</w:t>
      </w:r>
    </w:p>
    <w:p w14:paraId="591AB132"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The value of money today is known as purchasing power. If a gallon of milk costs U.S. $2 today, under a 3% annual inflation, that same gallon of milk would cost U.S. $2.06 at this same time next year. Purchasing power suggests that if an organization is looking to invest in a capital expenditure, it is better not to wait.</w:t>
      </w:r>
    </w:p>
    <w:p w14:paraId="52D0325F" w14:textId="18293B1C" w:rsidR="002E725F" w:rsidRDefault="002E725F">
      <w:pPr>
        <w:rPr>
          <w:color w:val="000000" w:themeColor="text1"/>
        </w:rPr>
      </w:pPr>
    </w:p>
    <w:p w14:paraId="62694DF2"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lastRenderedPageBreak/>
        <w:t>Before moving on, let’s review some of the abbreviations that appear in the equations we use to calculate various values.</w:t>
      </w:r>
    </w:p>
    <w:tbl>
      <w:tblPr>
        <w:tblW w:w="0" w:type="auto"/>
        <w:tblCellMar>
          <w:top w:w="15" w:type="dxa"/>
          <w:left w:w="15" w:type="dxa"/>
          <w:bottom w:w="15" w:type="dxa"/>
          <w:right w:w="15" w:type="dxa"/>
        </w:tblCellMar>
        <w:tblLook w:val="04A0" w:firstRow="1" w:lastRow="0" w:firstColumn="1" w:lastColumn="0" w:noHBand="0" w:noVBand="1"/>
      </w:tblPr>
      <w:tblGrid>
        <w:gridCol w:w="1849"/>
        <w:gridCol w:w="2115"/>
      </w:tblGrid>
      <w:tr w:rsidR="002E725F" w:rsidRPr="002E725F" w14:paraId="641FD271" w14:textId="77777777" w:rsidTr="002E725F">
        <w:tc>
          <w:tcPr>
            <w:tcW w:w="0" w:type="auto"/>
            <w:tcMar>
              <w:top w:w="0" w:type="dxa"/>
              <w:left w:w="0" w:type="dxa"/>
              <w:bottom w:w="0" w:type="dxa"/>
              <w:right w:w="0" w:type="dxa"/>
            </w:tcMar>
            <w:vAlign w:val="center"/>
            <w:hideMark/>
          </w:tcPr>
          <w:p w14:paraId="7CE01CE5"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PV = Present value</w:t>
            </w:r>
          </w:p>
        </w:tc>
        <w:tc>
          <w:tcPr>
            <w:tcW w:w="0" w:type="auto"/>
            <w:tcMar>
              <w:top w:w="0" w:type="dxa"/>
              <w:left w:w="0" w:type="dxa"/>
              <w:bottom w:w="0" w:type="dxa"/>
              <w:right w:w="0" w:type="dxa"/>
            </w:tcMar>
            <w:vAlign w:val="center"/>
            <w:hideMark/>
          </w:tcPr>
          <w:p w14:paraId="3CC1712E"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T (or t) = Time</w:t>
            </w:r>
          </w:p>
        </w:tc>
      </w:tr>
      <w:tr w:rsidR="002E725F" w:rsidRPr="002E725F" w14:paraId="32763002" w14:textId="77777777" w:rsidTr="002E725F">
        <w:tc>
          <w:tcPr>
            <w:tcW w:w="0" w:type="auto"/>
            <w:tcMar>
              <w:top w:w="0" w:type="dxa"/>
              <w:left w:w="0" w:type="dxa"/>
              <w:bottom w:w="0" w:type="dxa"/>
              <w:right w:w="0" w:type="dxa"/>
            </w:tcMar>
            <w:vAlign w:val="center"/>
            <w:hideMark/>
          </w:tcPr>
          <w:p w14:paraId="33D925FF"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FV = Future value</w:t>
            </w:r>
          </w:p>
        </w:tc>
        <w:tc>
          <w:tcPr>
            <w:tcW w:w="0" w:type="auto"/>
            <w:tcMar>
              <w:top w:w="0" w:type="dxa"/>
              <w:left w:w="0" w:type="dxa"/>
              <w:bottom w:w="0" w:type="dxa"/>
              <w:right w:w="0" w:type="dxa"/>
            </w:tcMar>
            <w:vAlign w:val="center"/>
            <w:hideMark/>
          </w:tcPr>
          <w:p w14:paraId="2C938586"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R (or r) = Interest rate</w:t>
            </w:r>
          </w:p>
        </w:tc>
      </w:tr>
    </w:tbl>
    <w:p w14:paraId="7B1C9DC1"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i/>
          <w:iCs/>
          <w:color w:val="000000" w:themeColor="text1"/>
        </w:rPr>
        <w:t>Present value</w:t>
      </w:r>
      <w:r w:rsidRPr="002E725F">
        <w:rPr>
          <w:rFonts w:ascii="Times New Roman" w:eastAsia="Times New Roman" w:hAnsi="Times New Roman" w:cs="Times New Roman"/>
          <w:color w:val="000000" w:themeColor="text1"/>
        </w:rPr>
        <w:t> (PV) calculations are used to determine how much the money in the future value of an amount is worth in today’s currency. </w:t>
      </w:r>
      <w:r w:rsidRPr="002E725F">
        <w:rPr>
          <w:rFonts w:ascii="Times New Roman" w:eastAsia="Times New Roman" w:hAnsi="Times New Roman" w:cs="Times New Roman"/>
          <w:i/>
          <w:iCs/>
          <w:color w:val="000000" w:themeColor="text1"/>
        </w:rPr>
        <w:t>Future values</w:t>
      </w:r>
      <w:r w:rsidRPr="002E725F">
        <w:rPr>
          <w:rFonts w:ascii="Times New Roman" w:eastAsia="Times New Roman" w:hAnsi="Times New Roman" w:cs="Times New Roman"/>
          <w:color w:val="000000" w:themeColor="text1"/>
        </w:rPr>
        <w:t> (FV) are used to calculate how much the money in the present value of an amount will be in the future. These calculations are used to determine current prices, in today’s currency, of assets and expenses. We will look at how to calculate lump sum values.</w:t>
      </w:r>
    </w:p>
    <w:p w14:paraId="13DCFDEF"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Assume that you are willing to invest U.S. $100 today at 5% for five years. How much money will you have at the end of each year? Review the following table.</w:t>
      </w:r>
    </w:p>
    <w:tbl>
      <w:tblPr>
        <w:tblW w:w="10643" w:type="dxa"/>
        <w:tblInd w:w="-655" w:type="dxa"/>
        <w:tblCellMar>
          <w:top w:w="15" w:type="dxa"/>
          <w:left w:w="15" w:type="dxa"/>
          <w:bottom w:w="15" w:type="dxa"/>
          <w:right w:w="15" w:type="dxa"/>
        </w:tblCellMar>
        <w:tblLook w:val="04A0" w:firstRow="1" w:lastRow="0" w:firstColumn="1" w:lastColumn="0" w:noHBand="0" w:noVBand="1"/>
      </w:tblPr>
      <w:tblGrid>
        <w:gridCol w:w="834"/>
        <w:gridCol w:w="2323"/>
        <w:gridCol w:w="2516"/>
        <w:gridCol w:w="3170"/>
        <w:gridCol w:w="1800"/>
      </w:tblGrid>
      <w:tr w:rsidR="002E725F" w:rsidRPr="002E725F" w14:paraId="7DECA4BA" w14:textId="77777777" w:rsidTr="002E725F">
        <w:tc>
          <w:tcPr>
            <w:tcW w:w="834"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20068761"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 </w:t>
            </w:r>
          </w:p>
        </w:tc>
        <w:tc>
          <w:tcPr>
            <w:tcW w:w="0" w:type="auto"/>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358447A4"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PRESENT</w:t>
            </w:r>
            <w:r w:rsidRPr="002E725F">
              <w:rPr>
                <w:rFonts w:ascii="Times New Roman" w:eastAsia="Times New Roman" w:hAnsi="Times New Roman" w:cs="Times New Roman"/>
                <w:b/>
                <w:bCs/>
                <w:color w:val="000000" w:themeColor="text1"/>
              </w:rPr>
              <w:br/>
              <w:t>VALUE</w:t>
            </w:r>
          </w:p>
        </w:tc>
        <w:tc>
          <w:tcPr>
            <w:tcW w:w="0" w:type="auto"/>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2EBD2948"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SIMPLE</w:t>
            </w:r>
            <w:r w:rsidRPr="002E725F">
              <w:rPr>
                <w:rFonts w:ascii="Times New Roman" w:eastAsia="Times New Roman" w:hAnsi="Times New Roman" w:cs="Times New Roman"/>
                <w:b/>
                <w:bCs/>
                <w:color w:val="000000" w:themeColor="text1"/>
              </w:rPr>
              <w:br/>
              <w:t>INTEREST</w:t>
            </w:r>
          </w:p>
        </w:tc>
        <w:tc>
          <w:tcPr>
            <w:tcW w:w="3170"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29E58CAB"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COMPOUND INTEREST</w:t>
            </w:r>
          </w:p>
        </w:tc>
        <w:tc>
          <w:tcPr>
            <w:tcW w:w="1800"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665249F8"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TOTAL</w:t>
            </w:r>
          </w:p>
        </w:tc>
      </w:tr>
      <w:tr w:rsidR="002E725F" w:rsidRPr="002E725F" w14:paraId="16A2823A" w14:textId="77777777" w:rsidTr="002E725F">
        <w:tc>
          <w:tcPr>
            <w:tcW w:w="834"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7A787A83" w14:textId="77777777" w:rsidR="002E725F" w:rsidRPr="002E725F" w:rsidRDefault="002E725F" w:rsidP="002E725F">
            <w:pPr>
              <w:jc w:val="cente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YEAR 1</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7B00F909"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$100.00</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6F5EBB70"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$5.00</w:t>
            </w:r>
          </w:p>
        </w:tc>
        <w:tc>
          <w:tcPr>
            <w:tcW w:w="317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2049AA8E"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 -</w:t>
            </w:r>
          </w:p>
        </w:tc>
        <w:tc>
          <w:tcPr>
            <w:tcW w:w="180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4520CE98"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$105.00</w:t>
            </w:r>
          </w:p>
        </w:tc>
      </w:tr>
      <w:tr w:rsidR="002E725F" w:rsidRPr="002E725F" w14:paraId="5AEA0FDF" w14:textId="77777777" w:rsidTr="002E725F">
        <w:tc>
          <w:tcPr>
            <w:tcW w:w="834"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736A98D9" w14:textId="77777777" w:rsidR="002E725F" w:rsidRPr="002E725F" w:rsidRDefault="002E725F" w:rsidP="002E725F">
            <w:pPr>
              <w:jc w:val="cente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YEAR 2</w:t>
            </w:r>
          </w:p>
        </w:tc>
        <w:tc>
          <w:tcPr>
            <w:tcW w:w="0" w:type="auto"/>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5B76BC5C"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$105.00</w:t>
            </w:r>
          </w:p>
        </w:tc>
        <w:tc>
          <w:tcPr>
            <w:tcW w:w="0" w:type="auto"/>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7524F541"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$5.00</w:t>
            </w:r>
          </w:p>
        </w:tc>
        <w:tc>
          <w:tcPr>
            <w:tcW w:w="317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25E1A4AB"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$0.25</w:t>
            </w:r>
          </w:p>
        </w:tc>
        <w:tc>
          <w:tcPr>
            <w:tcW w:w="180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5C76F6E1"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$110.25</w:t>
            </w:r>
          </w:p>
        </w:tc>
      </w:tr>
      <w:tr w:rsidR="002E725F" w:rsidRPr="002E725F" w14:paraId="3F273045" w14:textId="77777777" w:rsidTr="002E725F">
        <w:tc>
          <w:tcPr>
            <w:tcW w:w="834"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606FBAB2" w14:textId="77777777" w:rsidR="002E725F" w:rsidRPr="002E725F" w:rsidRDefault="002E725F" w:rsidP="002E725F">
            <w:pPr>
              <w:jc w:val="cente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YEAR 3</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395A32F4"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$110.25</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546190E2"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$5.00</w:t>
            </w:r>
          </w:p>
        </w:tc>
        <w:tc>
          <w:tcPr>
            <w:tcW w:w="317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3E000A90"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$0.51</w:t>
            </w:r>
          </w:p>
        </w:tc>
        <w:tc>
          <w:tcPr>
            <w:tcW w:w="180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22A215B3"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$115.76</w:t>
            </w:r>
          </w:p>
        </w:tc>
      </w:tr>
      <w:tr w:rsidR="002E725F" w:rsidRPr="002E725F" w14:paraId="393F85EA" w14:textId="77777777" w:rsidTr="002E725F">
        <w:tc>
          <w:tcPr>
            <w:tcW w:w="834"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5D73A267" w14:textId="77777777" w:rsidR="002E725F" w:rsidRPr="002E725F" w:rsidRDefault="002E725F" w:rsidP="002E725F">
            <w:pPr>
              <w:jc w:val="cente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YEAR 4</w:t>
            </w:r>
          </w:p>
        </w:tc>
        <w:tc>
          <w:tcPr>
            <w:tcW w:w="0" w:type="auto"/>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382A335E"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$115.76</w:t>
            </w:r>
          </w:p>
        </w:tc>
        <w:tc>
          <w:tcPr>
            <w:tcW w:w="0" w:type="auto"/>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460170D8"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$5.00</w:t>
            </w:r>
          </w:p>
        </w:tc>
        <w:tc>
          <w:tcPr>
            <w:tcW w:w="317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4052E430"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$0.79</w:t>
            </w:r>
          </w:p>
        </w:tc>
        <w:tc>
          <w:tcPr>
            <w:tcW w:w="180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4708D77C"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$121.55</w:t>
            </w:r>
          </w:p>
        </w:tc>
      </w:tr>
      <w:tr w:rsidR="002E725F" w:rsidRPr="002E725F" w14:paraId="6EB3273A" w14:textId="77777777" w:rsidTr="002E725F">
        <w:trPr>
          <w:trHeight w:val="381"/>
        </w:trPr>
        <w:tc>
          <w:tcPr>
            <w:tcW w:w="834"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550141FD" w14:textId="77777777" w:rsidR="002E725F" w:rsidRPr="002E725F" w:rsidRDefault="002E725F" w:rsidP="002E725F">
            <w:pPr>
              <w:jc w:val="cente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YEAR 5</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2C4D7AE7"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$121.55</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3370AA4A"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$5.00</w:t>
            </w:r>
          </w:p>
        </w:tc>
        <w:tc>
          <w:tcPr>
            <w:tcW w:w="317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04419F78"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$1.08</w:t>
            </w:r>
          </w:p>
        </w:tc>
        <w:tc>
          <w:tcPr>
            <w:tcW w:w="180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648F761D"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$127.63</w:t>
            </w:r>
          </w:p>
        </w:tc>
      </w:tr>
    </w:tbl>
    <w:p w14:paraId="69F4BD1A"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Simple Interest = PV x R (original amount year 1)</w:t>
      </w:r>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Total FV = PV x R (each year PV)</w:t>
      </w:r>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Compound Interest = Total – PV (original amount) – Simple Interest</w:t>
      </w:r>
    </w:p>
    <w:p w14:paraId="6D0770F9"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Your present value at year one would be $100. Simple interest is the original present value times the interest. It will be the same amount over the entirety of the investment. In our example, 5% of $100 is $5.00. Compound interest is the amount of additional interest you will receive if you leave the simple interest in the bank. As you can see the first year, the compound interest is 0 because there is no prior simple interest. The present value increases each year due to the simple and compound interest being added, which results in an increase in the total of the money.</w:t>
      </w:r>
    </w:p>
    <w:p w14:paraId="5185FB30"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 xml:space="preserve">This method works, but what if you have an investment over a much longer </w:t>
      </w:r>
      <w:proofErr w:type="gramStart"/>
      <w:r w:rsidRPr="002E725F">
        <w:rPr>
          <w:rFonts w:ascii="Times New Roman" w:eastAsia="Times New Roman" w:hAnsi="Times New Roman" w:cs="Times New Roman"/>
          <w:color w:val="000000" w:themeColor="text1"/>
        </w:rPr>
        <w:t>time period</w:t>
      </w:r>
      <w:proofErr w:type="gramEnd"/>
      <w:r w:rsidRPr="002E725F">
        <w:rPr>
          <w:rFonts w:ascii="Times New Roman" w:eastAsia="Times New Roman" w:hAnsi="Times New Roman" w:cs="Times New Roman"/>
          <w:color w:val="000000" w:themeColor="text1"/>
        </w:rPr>
        <w:t>? It would take an abundance of time to complete this method. This is when you can use the following equation:</w:t>
      </w:r>
    </w:p>
    <w:p w14:paraId="1C024EA9"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lastRenderedPageBreak/>
        <w:t>FV = (PV)(1+</w:t>
      </w:r>
      <w:proofErr w:type="gramStart"/>
      <w:r w:rsidRPr="002E725F">
        <w:rPr>
          <w:rFonts w:ascii="Times New Roman" w:eastAsia="Times New Roman" w:hAnsi="Times New Roman" w:cs="Times New Roman"/>
          <w:b/>
          <w:bCs/>
          <w:color w:val="000000" w:themeColor="text1"/>
        </w:rPr>
        <w:t>r)</w:t>
      </w:r>
      <w:r w:rsidRPr="002E725F">
        <w:rPr>
          <w:rFonts w:ascii="Times New Roman" w:eastAsia="Times New Roman" w:hAnsi="Times New Roman" w:cs="Times New Roman"/>
          <w:b/>
          <w:bCs/>
          <w:color w:val="000000" w:themeColor="text1"/>
          <w:vertAlign w:val="superscript"/>
        </w:rPr>
        <w:t>t</w:t>
      </w:r>
      <w:proofErr w:type="gramEnd"/>
    </w:p>
    <w:p w14:paraId="1F90644A"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Using the previous example (i.e., U.S. $100 at 5% for 5 years):</w:t>
      </w:r>
    </w:p>
    <w:p w14:paraId="01643BE2"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FV = (PV) (1+</w:t>
      </w:r>
      <w:proofErr w:type="gramStart"/>
      <w:r w:rsidRPr="002E725F">
        <w:rPr>
          <w:rFonts w:ascii="Times New Roman" w:eastAsia="Times New Roman" w:hAnsi="Times New Roman" w:cs="Times New Roman"/>
          <w:b/>
          <w:bCs/>
          <w:color w:val="000000" w:themeColor="text1"/>
        </w:rPr>
        <w:t>r)</w:t>
      </w:r>
      <w:r w:rsidRPr="002E725F">
        <w:rPr>
          <w:rFonts w:ascii="Times New Roman" w:eastAsia="Times New Roman" w:hAnsi="Times New Roman" w:cs="Times New Roman"/>
          <w:b/>
          <w:bCs/>
          <w:color w:val="000000" w:themeColor="text1"/>
          <w:vertAlign w:val="superscript"/>
        </w:rPr>
        <w:t>t</w:t>
      </w:r>
      <w:proofErr w:type="gramEnd"/>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FV = (100)(1+.05)</w:t>
      </w:r>
      <w:r w:rsidRPr="002E725F">
        <w:rPr>
          <w:rFonts w:ascii="Times New Roman" w:eastAsia="Times New Roman" w:hAnsi="Times New Roman" w:cs="Times New Roman"/>
          <w:b/>
          <w:bCs/>
          <w:color w:val="000000" w:themeColor="text1"/>
          <w:vertAlign w:val="superscript"/>
        </w:rPr>
        <w:t>5</w:t>
      </w:r>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FV = (100)(1.2763)</w:t>
      </w:r>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FV= 127.63</w:t>
      </w:r>
    </w:p>
    <w:p w14:paraId="7D5A0E23"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Now, let’s assume that the amount invested is $1,000,000, and the interest is 6%. How much would you have at the end of 10 years?</w:t>
      </w:r>
    </w:p>
    <w:p w14:paraId="02DD4809"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FV = (PV)(1+</w:t>
      </w:r>
      <w:proofErr w:type="gramStart"/>
      <w:r w:rsidRPr="002E725F">
        <w:rPr>
          <w:rFonts w:ascii="Times New Roman" w:eastAsia="Times New Roman" w:hAnsi="Times New Roman" w:cs="Times New Roman"/>
          <w:b/>
          <w:bCs/>
          <w:color w:val="000000" w:themeColor="text1"/>
        </w:rPr>
        <w:t>r)</w:t>
      </w:r>
      <w:r w:rsidRPr="002E725F">
        <w:rPr>
          <w:rFonts w:ascii="Times New Roman" w:eastAsia="Times New Roman" w:hAnsi="Times New Roman" w:cs="Times New Roman"/>
          <w:b/>
          <w:bCs/>
          <w:color w:val="000000" w:themeColor="text1"/>
          <w:vertAlign w:val="superscript"/>
        </w:rPr>
        <w:t>t</w:t>
      </w:r>
      <w:proofErr w:type="gramEnd"/>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FV = (1,000,000) (1+.06)</w:t>
      </w:r>
      <w:r w:rsidRPr="002E725F">
        <w:rPr>
          <w:rFonts w:ascii="Times New Roman" w:eastAsia="Times New Roman" w:hAnsi="Times New Roman" w:cs="Times New Roman"/>
          <w:b/>
          <w:bCs/>
          <w:color w:val="000000" w:themeColor="text1"/>
          <w:vertAlign w:val="superscript"/>
        </w:rPr>
        <w:t>10</w:t>
      </w:r>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FV = (1,000,000) (1.79085)</w:t>
      </w:r>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FV= 1,790,850</w:t>
      </w:r>
    </w:p>
    <w:p w14:paraId="7E212EE6"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You would, therefore, have $1,790,800 at the end of 10 years.</w:t>
      </w:r>
    </w:p>
    <w:p w14:paraId="5C6123B7" w14:textId="77777777" w:rsidR="002E725F" w:rsidRPr="002E725F" w:rsidRDefault="002E725F" w:rsidP="002E725F">
      <w:pPr>
        <w:pStyle w:val="NormalWeb"/>
        <w:rPr>
          <w:color w:val="333333"/>
        </w:rPr>
      </w:pPr>
      <w:r w:rsidRPr="002E725F">
        <w:rPr>
          <w:color w:val="333333"/>
        </w:rPr>
        <w:t xml:space="preserve">You can also compute the present value from the future value amount. This equation is </w:t>
      </w:r>
      <w:proofErr w:type="gramStart"/>
      <w:r w:rsidRPr="002E725F">
        <w:rPr>
          <w:color w:val="333333"/>
        </w:rPr>
        <w:t>similar to</w:t>
      </w:r>
      <w:proofErr w:type="gramEnd"/>
      <w:r w:rsidRPr="002E725F">
        <w:rPr>
          <w:color w:val="333333"/>
        </w:rPr>
        <w:t xml:space="preserve"> the future value equation.</w:t>
      </w:r>
    </w:p>
    <w:p w14:paraId="15A40AA9" w14:textId="77777777" w:rsidR="002E725F" w:rsidRPr="002E725F" w:rsidRDefault="002E725F" w:rsidP="002E725F">
      <w:pPr>
        <w:pStyle w:val="NormalWeb"/>
        <w:rPr>
          <w:color w:val="333333"/>
        </w:rPr>
      </w:pPr>
      <w:r w:rsidRPr="002E725F">
        <w:rPr>
          <w:rStyle w:val="Strong"/>
          <w:color w:val="333333"/>
        </w:rPr>
        <w:t>PV = (FV)/(1+</w:t>
      </w:r>
      <w:proofErr w:type="gramStart"/>
      <w:r w:rsidRPr="002E725F">
        <w:rPr>
          <w:rStyle w:val="Strong"/>
          <w:color w:val="333333"/>
        </w:rPr>
        <w:t>r)</w:t>
      </w:r>
      <w:r w:rsidRPr="002E725F">
        <w:rPr>
          <w:rStyle w:val="Strong"/>
          <w:color w:val="333333"/>
          <w:vertAlign w:val="superscript"/>
        </w:rPr>
        <w:t>t</w:t>
      </w:r>
      <w:proofErr w:type="gramEnd"/>
    </w:p>
    <w:p w14:paraId="5139AD71" w14:textId="77777777" w:rsidR="002E725F" w:rsidRPr="002E725F" w:rsidRDefault="002E725F" w:rsidP="002E725F">
      <w:pPr>
        <w:pStyle w:val="NormalWeb"/>
        <w:rPr>
          <w:color w:val="333333"/>
        </w:rPr>
      </w:pPr>
      <w:r w:rsidRPr="002E725F">
        <w:rPr>
          <w:color w:val="333333"/>
        </w:rPr>
        <w:t>Now assume that you need to figure out how much money to invest today to get $1,790,850 in 10 years at 6%.</w:t>
      </w:r>
    </w:p>
    <w:p w14:paraId="2CBF9CCC" w14:textId="77777777" w:rsidR="002E725F" w:rsidRPr="002E725F" w:rsidRDefault="002E725F" w:rsidP="002E725F">
      <w:pPr>
        <w:pStyle w:val="NormalWeb"/>
        <w:rPr>
          <w:color w:val="333333"/>
        </w:rPr>
      </w:pPr>
      <w:r w:rsidRPr="002E725F">
        <w:rPr>
          <w:color w:val="333333"/>
        </w:rPr>
        <w:t>Let’s look at the equation approach first.</w:t>
      </w:r>
    </w:p>
    <w:p w14:paraId="4DEF024B" w14:textId="77777777" w:rsidR="002E725F" w:rsidRPr="002E725F" w:rsidRDefault="002E725F" w:rsidP="002E725F">
      <w:pPr>
        <w:pStyle w:val="NormalWeb"/>
        <w:rPr>
          <w:color w:val="333333"/>
        </w:rPr>
      </w:pPr>
      <w:r w:rsidRPr="002E725F">
        <w:rPr>
          <w:rStyle w:val="Strong"/>
          <w:color w:val="333333"/>
        </w:rPr>
        <w:t>PV = (FV)/(1+</w:t>
      </w:r>
      <w:proofErr w:type="gramStart"/>
      <w:r w:rsidRPr="002E725F">
        <w:rPr>
          <w:rStyle w:val="Strong"/>
          <w:color w:val="333333"/>
        </w:rPr>
        <w:t>r)</w:t>
      </w:r>
      <w:r w:rsidRPr="002E725F">
        <w:rPr>
          <w:rStyle w:val="Strong"/>
          <w:color w:val="333333"/>
          <w:vertAlign w:val="superscript"/>
        </w:rPr>
        <w:t>t</w:t>
      </w:r>
      <w:proofErr w:type="gramEnd"/>
      <w:r w:rsidRPr="002E725F">
        <w:rPr>
          <w:color w:val="333333"/>
        </w:rPr>
        <w:br/>
      </w:r>
      <w:r w:rsidRPr="002E725F">
        <w:rPr>
          <w:rStyle w:val="Strong"/>
          <w:color w:val="333333"/>
        </w:rPr>
        <w:t>PV = (1,790,850)/(1+.06)</w:t>
      </w:r>
      <w:r w:rsidRPr="002E725F">
        <w:rPr>
          <w:rStyle w:val="Strong"/>
          <w:color w:val="333333"/>
          <w:vertAlign w:val="superscript"/>
        </w:rPr>
        <w:t>10</w:t>
      </w:r>
      <w:r w:rsidRPr="002E725F">
        <w:rPr>
          <w:color w:val="333333"/>
        </w:rPr>
        <w:br/>
      </w:r>
      <w:r w:rsidRPr="002E725F">
        <w:rPr>
          <w:rStyle w:val="Strong"/>
          <w:color w:val="333333"/>
        </w:rPr>
        <w:t>PV= (1,790,850)/(1.79085)</w:t>
      </w:r>
      <w:r w:rsidRPr="002E725F">
        <w:rPr>
          <w:color w:val="333333"/>
        </w:rPr>
        <w:br/>
      </w:r>
      <w:r w:rsidRPr="002E725F">
        <w:rPr>
          <w:rStyle w:val="Strong"/>
          <w:color w:val="333333"/>
        </w:rPr>
        <w:t>PV= 1,000,0000</w:t>
      </w:r>
    </w:p>
    <w:p w14:paraId="6537DC53" w14:textId="77777777" w:rsidR="002E725F" w:rsidRPr="002E725F" w:rsidRDefault="002E725F" w:rsidP="002E725F">
      <w:pPr>
        <w:pStyle w:val="NormalWeb"/>
        <w:rPr>
          <w:color w:val="000000" w:themeColor="text1"/>
        </w:rPr>
      </w:pPr>
      <w:r w:rsidRPr="002E725F">
        <w:rPr>
          <w:color w:val="000000" w:themeColor="text1"/>
        </w:rPr>
        <w:t>Thus, you would have to invest $1,000,000 today to have $1,790,850 in 10 years at 6%.</w:t>
      </w:r>
    </w:p>
    <w:p w14:paraId="2B0C3744" w14:textId="77777777" w:rsidR="002E725F" w:rsidRPr="002E725F" w:rsidRDefault="002E725F" w:rsidP="002E725F">
      <w:pPr>
        <w:pStyle w:val="NormalWeb"/>
        <w:rPr>
          <w:color w:val="000000" w:themeColor="text1"/>
        </w:rPr>
      </w:pPr>
      <w:r w:rsidRPr="002E725F">
        <w:rPr>
          <w:rStyle w:val="Strong"/>
          <w:color w:val="000000" w:themeColor="text1"/>
        </w:rPr>
        <w:t>Explore</w:t>
      </w:r>
    </w:p>
    <w:p w14:paraId="37767F72" w14:textId="3E03C481" w:rsidR="002E725F" w:rsidRPr="002E725F" w:rsidRDefault="002E725F" w:rsidP="002E725F">
      <w:pPr>
        <w:pStyle w:val="NormalWeb"/>
        <w:rPr>
          <w:color w:val="000000" w:themeColor="text1"/>
        </w:rPr>
      </w:pPr>
      <w:r w:rsidRPr="002E725F">
        <w:rPr>
          <w:color w:val="000000" w:themeColor="text1"/>
        </w:rPr>
        <w:t>You can also use this</w:t>
      </w:r>
      <w:r w:rsidRPr="002E725F">
        <w:rPr>
          <w:rStyle w:val="apple-converted-space"/>
          <w:color w:val="000000" w:themeColor="text1"/>
        </w:rPr>
        <w:t> </w:t>
      </w:r>
      <w:hyperlink r:id="rId5" w:tgtFrame="_blank" w:history="1">
        <w:r w:rsidRPr="002E725F">
          <w:rPr>
            <w:rStyle w:val="Hyperlink"/>
            <w:b/>
            <w:bCs/>
            <w:color w:val="000000" w:themeColor="text1"/>
          </w:rPr>
          <w:t>Present Value of $1 table</w:t>
        </w:r>
      </w:hyperlink>
      <w:r w:rsidRPr="002E725F">
        <w:rPr>
          <w:rStyle w:val="apple-converted-space"/>
          <w:color w:val="000000" w:themeColor="text1"/>
        </w:rPr>
        <w:t> </w:t>
      </w:r>
      <w:r w:rsidRPr="002E725F">
        <w:rPr>
          <w:color w:val="000000" w:themeColor="text1"/>
        </w:rPr>
        <w:t>to get this amount.</w:t>
      </w:r>
      <w:r w:rsidRPr="002E725F">
        <w:rPr>
          <w:color w:val="000000" w:themeColor="text1"/>
        </w:rPr>
        <w:t xml:space="preserve"> </w:t>
      </w:r>
      <w:r w:rsidRPr="002E725F">
        <w:rPr>
          <w:color w:val="000000" w:themeColor="text1"/>
        </w:rPr>
        <w:t>If you look at row 10 and go across to 6%, you will find .55839. If you take 1,790,850 and multiply it times .55839, you will get $999,992.73. This is close to the $1,000,000 that we calculated.</w:t>
      </w:r>
    </w:p>
    <w:p w14:paraId="3328F5A7" w14:textId="77777777" w:rsidR="002E725F" w:rsidRPr="002E725F" w:rsidRDefault="002E725F" w:rsidP="002E725F">
      <w:pPr>
        <w:spacing w:before="100" w:beforeAutospacing="1" w:after="100" w:afterAutospacing="1"/>
        <w:rPr>
          <w:rFonts w:ascii="Times New Roman" w:eastAsia="Times New Roman" w:hAnsi="Times New Roman" w:cs="Times New Roman"/>
        </w:rPr>
      </w:pPr>
      <w:r w:rsidRPr="002E725F">
        <w:rPr>
          <w:rFonts w:ascii="Times New Roman" w:eastAsia="Times New Roman" w:hAnsi="Times New Roman" w:cs="Times New Roman"/>
        </w:rPr>
        <w:t>When projecting finances further than one year out, it is best to either use financial software or Look Up Tables, which utilize interest rates and time periods to project the value of money in the future.</w:t>
      </w:r>
    </w:p>
    <w:p w14:paraId="16F95920" w14:textId="77777777" w:rsidR="002E725F" w:rsidRPr="002E725F" w:rsidRDefault="002E725F" w:rsidP="002E725F">
      <w:pPr>
        <w:pBdr>
          <w:bottom w:val="single" w:sz="6" w:space="9" w:color="989898"/>
        </w:pBdr>
        <w:spacing w:before="100" w:beforeAutospacing="1" w:after="100" w:afterAutospacing="1"/>
        <w:outlineLvl w:val="1"/>
        <w:rPr>
          <w:rFonts w:ascii="Times New Roman" w:eastAsia="Times New Roman" w:hAnsi="Times New Roman" w:cs="Times New Roman"/>
          <w:b/>
          <w:bCs/>
          <w:color w:val="FF0000"/>
        </w:rPr>
      </w:pPr>
      <w:r w:rsidRPr="002E725F">
        <w:rPr>
          <w:rFonts w:ascii="Times New Roman" w:eastAsia="Times New Roman" w:hAnsi="Times New Roman" w:cs="Times New Roman"/>
          <w:b/>
          <w:bCs/>
          <w:color w:val="FF0000"/>
        </w:rPr>
        <w:lastRenderedPageBreak/>
        <w:t>2. Annuities, Perpetuities, and Compounding Periods</w:t>
      </w:r>
    </w:p>
    <w:p w14:paraId="76DCDB24"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Annuities</w:t>
      </w:r>
    </w:p>
    <w:p w14:paraId="11CFEEF7"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 xml:space="preserve">We have discussed lump sum investments. Now, let’s discuss annuities. Unlike lump sum investments, annuities are payments that occur each </w:t>
      </w:r>
      <w:proofErr w:type="gramStart"/>
      <w:r w:rsidRPr="002E725F">
        <w:rPr>
          <w:rFonts w:ascii="Times New Roman" w:eastAsia="Times New Roman" w:hAnsi="Times New Roman" w:cs="Times New Roman"/>
          <w:color w:val="000000" w:themeColor="text1"/>
        </w:rPr>
        <w:t>time period</w:t>
      </w:r>
      <w:proofErr w:type="gramEnd"/>
      <w:r w:rsidRPr="002E725F">
        <w:rPr>
          <w:rFonts w:ascii="Times New Roman" w:eastAsia="Times New Roman" w:hAnsi="Times New Roman" w:cs="Times New Roman"/>
          <w:color w:val="000000" w:themeColor="text1"/>
        </w:rPr>
        <w:t>.</w:t>
      </w:r>
    </w:p>
    <w:tbl>
      <w:tblPr>
        <w:tblpPr w:leftFromText="180" w:rightFromText="180" w:vertAnchor="text" w:horzAnchor="page" w:tblpX="1253" w:tblpY="279"/>
        <w:tblW w:w="10142" w:type="dxa"/>
        <w:tblCellMar>
          <w:top w:w="15" w:type="dxa"/>
          <w:left w:w="15" w:type="dxa"/>
          <w:bottom w:w="15" w:type="dxa"/>
          <w:right w:w="15" w:type="dxa"/>
        </w:tblCellMar>
        <w:tblLook w:val="04A0" w:firstRow="1" w:lastRow="0" w:firstColumn="1" w:lastColumn="0" w:noHBand="0" w:noVBand="1"/>
      </w:tblPr>
      <w:tblGrid>
        <w:gridCol w:w="3052"/>
        <w:gridCol w:w="3510"/>
        <w:gridCol w:w="3580"/>
      </w:tblGrid>
      <w:tr w:rsidR="002E725F" w:rsidRPr="002E725F" w14:paraId="29D30420" w14:textId="77777777" w:rsidTr="002E725F">
        <w:trPr>
          <w:trHeight w:val="177"/>
        </w:trPr>
        <w:tc>
          <w:tcPr>
            <w:tcW w:w="3052"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49A14087"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Time</w:t>
            </w:r>
          </w:p>
        </w:tc>
        <w:tc>
          <w:tcPr>
            <w:tcW w:w="3510"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4A356418"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PRESENT VALUE</w:t>
            </w:r>
          </w:p>
        </w:tc>
        <w:tc>
          <w:tcPr>
            <w:tcW w:w="3580"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7D4DB984"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FUTURE VALUE</w:t>
            </w:r>
          </w:p>
        </w:tc>
      </w:tr>
      <w:tr w:rsidR="002E725F" w:rsidRPr="002E725F" w14:paraId="0ADE51AD" w14:textId="77777777" w:rsidTr="002E725F">
        <w:trPr>
          <w:trHeight w:val="194"/>
        </w:trPr>
        <w:tc>
          <w:tcPr>
            <w:tcW w:w="3052"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1F520D2E"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Year 0</w:t>
            </w:r>
          </w:p>
        </w:tc>
        <w:tc>
          <w:tcPr>
            <w:tcW w:w="351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29D0511D"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$100.00</w:t>
            </w:r>
          </w:p>
        </w:tc>
        <w:tc>
          <w:tcPr>
            <w:tcW w:w="358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37C4903D"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$100.00</w:t>
            </w:r>
          </w:p>
        </w:tc>
      </w:tr>
      <w:tr w:rsidR="002E725F" w:rsidRPr="002E725F" w14:paraId="75FD35C7" w14:textId="77777777" w:rsidTr="002E725F">
        <w:trPr>
          <w:trHeight w:val="177"/>
        </w:trPr>
        <w:tc>
          <w:tcPr>
            <w:tcW w:w="3052"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0DF00157"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Year 1</w:t>
            </w:r>
          </w:p>
        </w:tc>
        <w:tc>
          <w:tcPr>
            <w:tcW w:w="351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4B700F84"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$100.00</w:t>
            </w:r>
          </w:p>
        </w:tc>
        <w:tc>
          <w:tcPr>
            <w:tcW w:w="358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25101B8A"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$105.00</w:t>
            </w:r>
          </w:p>
        </w:tc>
      </w:tr>
      <w:tr w:rsidR="002E725F" w:rsidRPr="002E725F" w14:paraId="0BB83890" w14:textId="77777777" w:rsidTr="002E725F">
        <w:trPr>
          <w:trHeight w:val="177"/>
        </w:trPr>
        <w:tc>
          <w:tcPr>
            <w:tcW w:w="3052"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0E04F96C"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Year 2</w:t>
            </w:r>
          </w:p>
        </w:tc>
        <w:tc>
          <w:tcPr>
            <w:tcW w:w="351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6FE16DE3"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$100.00</w:t>
            </w:r>
          </w:p>
        </w:tc>
        <w:tc>
          <w:tcPr>
            <w:tcW w:w="358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36418C82"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$110.25</w:t>
            </w:r>
          </w:p>
        </w:tc>
      </w:tr>
      <w:tr w:rsidR="002E725F" w:rsidRPr="002E725F" w14:paraId="26E6557A" w14:textId="77777777" w:rsidTr="002E725F">
        <w:trPr>
          <w:trHeight w:val="177"/>
        </w:trPr>
        <w:tc>
          <w:tcPr>
            <w:tcW w:w="3052"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355E9DEA"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Year 3</w:t>
            </w:r>
          </w:p>
        </w:tc>
        <w:tc>
          <w:tcPr>
            <w:tcW w:w="351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09DCFD4B"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$100.00</w:t>
            </w:r>
          </w:p>
        </w:tc>
        <w:tc>
          <w:tcPr>
            <w:tcW w:w="358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7DEDCD35"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$115.76</w:t>
            </w:r>
          </w:p>
        </w:tc>
      </w:tr>
      <w:tr w:rsidR="002E725F" w:rsidRPr="002E725F" w14:paraId="5BCCCBD7" w14:textId="77777777" w:rsidTr="002E725F">
        <w:trPr>
          <w:trHeight w:val="194"/>
        </w:trPr>
        <w:tc>
          <w:tcPr>
            <w:tcW w:w="3052"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6D6A0076"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Year 4</w:t>
            </w:r>
          </w:p>
        </w:tc>
        <w:tc>
          <w:tcPr>
            <w:tcW w:w="351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16A0923A"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$100.00</w:t>
            </w:r>
          </w:p>
        </w:tc>
        <w:tc>
          <w:tcPr>
            <w:tcW w:w="3580" w:type="dxa"/>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hideMark/>
          </w:tcPr>
          <w:p w14:paraId="29166927"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$121.55</w:t>
            </w:r>
          </w:p>
        </w:tc>
      </w:tr>
      <w:tr w:rsidR="002E725F" w:rsidRPr="002E725F" w14:paraId="32B44B5A" w14:textId="77777777" w:rsidTr="002E725F">
        <w:trPr>
          <w:trHeight w:val="177"/>
        </w:trPr>
        <w:tc>
          <w:tcPr>
            <w:tcW w:w="3052" w:type="dxa"/>
            <w:tcBorders>
              <w:top w:val="single" w:sz="6" w:space="0" w:color="DDDDDD"/>
              <w:left w:val="single" w:sz="6" w:space="0" w:color="DDDDDD"/>
              <w:bottom w:val="single" w:sz="6" w:space="0" w:color="DDDDDD"/>
              <w:right w:val="single" w:sz="6" w:space="0" w:color="DDDDDD"/>
            </w:tcBorders>
            <w:shd w:val="clear" w:color="auto" w:fill="33445E"/>
            <w:tcMar>
              <w:top w:w="90" w:type="dxa"/>
              <w:left w:w="90" w:type="dxa"/>
              <w:bottom w:w="90" w:type="dxa"/>
              <w:right w:w="90" w:type="dxa"/>
            </w:tcMar>
            <w:hideMark/>
          </w:tcPr>
          <w:p w14:paraId="5AB4ECAB" w14:textId="77777777" w:rsidR="002E725F" w:rsidRPr="002E725F" w:rsidRDefault="002E725F" w:rsidP="002E725F">
            <w:pPr>
              <w:jc w:val="center"/>
              <w:rPr>
                <w:rFonts w:ascii="Times New Roman" w:eastAsia="Times New Roman" w:hAnsi="Times New Roman" w:cs="Times New Roman"/>
                <w:b/>
                <w:bCs/>
                <w:color w:val="000000" w:themeColor="text1"/>
              </w:rPr>
            </w:pPr>
            <w:r w:rsidRPr="002E725F">
              <w:rPr>
                <w:rFonts w:ascii="Times New Roman" w:eastAsia="Times New Roman" w:hAnsi="Times New Roman" w:cs="Times New Roman"/>
                <w:b/>
                <w:bCs/>
                <w:color w:val="000000" w:themeColor="text1"/>
              </w:rPr>
              <w:t>Total FV</w:t>
            </w:r>
          </w:p>
        </w:tc>
        <w:tc>
          <w:tcPr>
            <w:tcW w:w="351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69E835BC"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 </w:t>
            </w:r>
          </w:p>
        </w:tc>
        <w:tc>
          <w:tcPr>
            <w:tcW w:w="3580" w:type="dxa"/>
            <w:tcBorders>
              <w:top w:val="single" w:sz="6" w:space="0" w:color="DDDDDD"/>
              <w:left w:val="single" w:sz="6" w:space="0" w:color="DDDDDD"/>
              <w:bottom w:val="single" w:sz="6" w:space="0" w:color="DDDDDD"/>
              <w:right w:val="single" w:sz="6" w:space="0" w:color="DDDDDD"/>
            </w:tcBorders>
            <w:shd w:val="clear" w:color="auto" w:fill="E5E5E5"/>
            <w:tcMar>
              <w:top w:w="90" w:type="dxa"/>
              <w:left w:w="90" w:type="dxa"/>
              <w:bottom w:w="90" w:type="dxa"/>
              <w:right w:w="90" w:type="dxa"/>
            </w:tcMar>
            <w:hideMark/>
          </w:tcPr>
          <w:p w14:paraId="0C62506E" w14:textId="77777777" w:rsidR="002E725F" w:rsidRPr="002E725F" w:rsidRDefault="002E725F" w:rsidP="002E725F">
            <w:pPr>
              <w:jc w:val="right"/>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$552.56</w:t>
            </w:r>
          </w:p>
        </w:tc>
      </w:tr>
    </w:tbl>
    <w:p w14:paraId="710F2902"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Let’s look at an example. What is the future value of an annuity that pays $100 each year for five years with an interest rate of 5%?</w:t>
      </w:r>
    </w:p>
    <w:p w14:paraId="08F30D27"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The present value of the cash flows is $100 each year. The future value is calculated by multiplying the present value times 1.05</w:t>
      </w:r>
      <w:r w:rsidRPr="002E725F">
        <w:rPr>
          <w:rFonts w:ascii="Times New Roman" w:eastAsia="Times New Roman" w:hAnsi="Times New Roman" w:cs="Times New Roman"/>
          <w:color w:val="000000" w:themeColor="text1"/>
          <w:vertAlign w:val="superscript"/>
        </w:rPr>
        <w:t>t</w:t>
      </w:r>
      <w:r w:rsidRPr="002E725F">
        <w:rPr>
          <w:rFonts w:ascii="Times New Roman" w:eastAsia="Times New Roman" w:hAnsi="Times New Roman" w:cs="Times New Roman"/>
          <w:color w:val="000000" w:themeColor="text1"/>
        </w:rPr>
        <w:t>, where </w:t>
      </w:r>
      <w:proofErr w:type="spellStart"/>
      <w:r w:rsidRPr="002E725F">
        <w:rPr>
          <w:rFonts w:ascii="Times New Roman" w:eastAsia="Times New Roman" w:hAnsi="Times New Roman" w:cs="Times New Roman"/>
          <w:b/>
          <w:bCs/>
          <w:color w:val="000000" w:themeColor="text1"/>
        </w:rPr>
        <w:t>t</w:t>
      </w:r>
      <w:proofErr w:type="spellEnd"/>
      <w:r w:rsidRPr="002E725F">
        <w:rPr>
          <w:rFonts w:ascii="Times New Roman" w:eastAsia="Times New Roman" w:hAnsi="Times New Roman" w:cs="Times New Roman"/>
          <w:color w:val="000000" w:themeColor="text1"/>
        </w:rPr>
        <w:t> is the amount of time or years. For example, 100 times 1.05</w:t>
      </w:r>
      <w:r w:rsidRPr="002E725F">
        <w:rPr>
          <w:rFonts w:ascii="Times New Roman" w:eastAsia="Times New Roman" w:hAnsi="Times New Roman" w:cs="Times New Roman"/>
          <w:color w:val="000000" w:themeColor="text1"/>
          <w:vertAlign w:val="superscript"/>
        </w:rPr>
        <w:t>1</w:t>
      </w:r>
      <w:r w:rsidRPr="002E725F">
        <w:rPr>
          <w:rFonts w:ascii="Times New Roman" w:eastAsia="Times New Roman" w:hAnsi="Times New Roman" w:cs="Times New Roman"/>
          <w:color w:val="000000" w:themeColor="text1"/>
        </w:rPr>
        <w:t xml:space="preserve"> = $105.00 and so forth. Please note that we started the calculation with 0 years because we would have received that $100 first. The total of </w:t>
      </w:r>
      <w:proofErr w:type="gramStart"/>
      <w:r w:rsidRPr="002E725F">
        <w:rPr>
          <w:rFonts w:ascii="Times New Roman" w:eastAsia="Times New Roman" w:hAnsi="Times New Roman" w:cs="Times New Roman"/>
          <w:color w:val="000000" w:themeColor="text1"/>
        </w:rPr>
        <w:t>all of</w:t>
      </w:r>
      <w:proofErr w:type="gramEnd"/>
      <w:r w:rsidRPr="002E725F">
        <w:rPr>
          <w:rFonts w:ascii="Times New Roman" w:eastAsia="Times New Roman" w:hAnsi="Times New Roman" w:cs="Times New Roman"/>
          <w:color w:val="000000" w:themeColor="text1"/>
        </w:rPr>
        <w:t xml:space="preserve"> those years is $552.56.</w:t>
      </w:r>
    </w:p>
    <w:p w14:paraId="6F4C5174"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This method works, but what if you have an investment over 20 years? It would take a significant amount of time to complete using this method. Thus, you can use this equation:</w:t>
      </w:r>
    </w:p>
    <w:p w14:paraId="5DDDC97F"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bdr w:val="none" w:sz="0" w:space="0" w:color="auto" w:frame="1"/>
        </w:rPr>
        <w:t>FVOrdinaryAnnuity=PV×(1+</w:t>
      </w:r>
      <w:proofErr w:type="gramStart"/>
      <w:r w:rsidRPr="002E725F">
        <w:rPr>
          <w:rFonts w:ascii="Times New Roman" w:eastAsia="Times New Roman" w:hAnsi="Times New Roman" w:cs="Times New Roman"/>
          <w:color w:val="000000" w:themeColor="text1"/>
          <w:bdr w:val="none" w:sz="0" w:space="0" w:color="auto" w:frame="1"/>
        </w:rPr>
        <w:t>r)t</w:t>
      </w:r>
      <w:proofErr w:type="gramEnd"/>
      <w:r w:rsidRPr="002E725F">
        <w:rPr>
          <w:rFonts w:ascii="Times New Roman" w:eastAsia="Times New Roman" w:hAnsi="Times New Roman" w:cs="Times New Roman"/>
          <w:color w:val="000000" w:themeColor="text1"/>
          <w:bdr w:val="none" w:sz="0" w:space="0" w:color="auto" w:frame="1"/>
        </w:rPr>
        <w:t>−1rFVOrdinaryAnnuity=(100)×(1+.05)5−1.05FVOrdinaryAnnuity=(100)(5.52563)FVOrdinaryAnnuity=$552.56</w:t>
      </w:r>
    </w:p>
    <w:p w14:paraId="2087FECE"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Now let’s assume that in our example the amount received was $50,000 and the interest is 6%. How much would you have at the end of 10 years in future value?</w:t>
      </w:r>
    </w:p>
    <w:p w14:paraId="1C46ED5E" w14:textId="77777777" w:rsidR="002E725F" w:rsidRPr="002E725F" w:rsidRDefault="002E725F" w:rsidP="002E725F">
      <w:pPr>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bdr w:val="none" w:sz="0" w:space="0" w:color="auto" w:frame="1"/>
        </w:rPr>
        <w:t>FVOrdinaryAnnuity=PV×(1+</w:t>
      </w:r>
      <w:proofErr w:type="gramStart"/>
      <w:r w:rsidRPr="002E725F">
        <w:rPr>
          <w:rFonts w:ascii="Times New Roman" w:eastAsia="Times New Roman" w:hAnsi="Times New Roman" w:cs="Times New Roman"/>
          <w:color w:val="000000" w:themeColor="text1"/>
          <w:bdr w:val="none" w:sz="0" w:space="0" w:color="auto" w:frame="1"/>
        </w:rPr>
        <w:t>r)t</w:t>
      </w:r>
      <w:proofErr w:type="gramEnd"/>
      <w:r w:rsidRPr="002E725F">
        <w:rPr>
          <w:rFonts w:ascii="Times New Roman" w:eastAsia="Times New Roman" w:hAnsi="Times New Roman" w:cs="Times New Roman"/>
          <w:color w:val="000000" w:themeColor="text1"/>
          <w:bdr w:val="none" w:sz="0" w:space="0" w:color="auto" w:frame="1"/>
        </w:rPr>
        <w:t>−1rFVOrdinaryAnnuity=(50,000)×(1+.06)10−1.06FVOrdinaryAnnuity=(50,000)(13.180795)FVOrdinaryAnnuity=$659,039.75</w:t>
      </w:r>
    </w:p>
    <w:p w14:paraId="680D0264"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Explore</w:t>
      </w:r>
    </w:p>
    <w:p w14:paraId="5621AEF6"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You can also use this </w:t>
      </w:r>
      <w:hyperlink r:id="rId6" w:tgtFrame="_blank" w:history="1">
        <w:r w:rsidRPr="002E725F">
          <w:rPr>
            <w:rFonts w:ascii="Times New Roman" w:eastAsia="Times New Roman" w:hAnsi="Times New Roman" w:cs="Times New Roman"/>
            <w:b/>
            <w:bCs/>
            <w:color w:val="000000" w:themeColor="text1"/>
            <w:u w:val="single"/>
          </w:rPr>
          <w:t>Future Value of Annuity table</w:t>
        </w:r>
      </w:hyperlink>
      <w:r w:rsidRPr="002E725F">
        <w:rPr>
          <w:rFonts w:ascii="Times New Roman" w:eastAsia="Times New Roman" w:hAnsi="Times New Roman" w:cs="Times New Roman"/>
          <w:color w:val="000000" w:themeColor="text1"/>
        </w:rPr>
        <w:t> to get this amount.</w:t>
      </w:r>
    </w:p>
    <w:p w14:paraId="6541FE23"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If you look at row 10 and go across to 6%, you will find 13.18079. If you take 50,000 and multiply it times 13.18079, you will get $659,039.75.</w:t>
      </w:r>
    </w:p>
    <w:p w14:paraId="2FBF7EB3"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lastRenderedPageBreak/>
        <w:t>As we continue, let’s add some abbreviations that will be used to make additional calculations.</w:t>
      </w:r>
    </w:p>
    <w:tbl>
      <w:tblPr>
        <w:tblW w:w="14250" w:type="dxa"/>
        <w:tblCellMar>
          <w:left w:w="0" w:type="dxa"/>
          <w:right w:w="0" w:type="dxa"/>
        </w:tblCellMar>
        <w:tblLook w:val="04A0" w:firstRow="1" w:lastRow="0" w:firstColumn="1" w:lastColumn="0" w:noHBand="0" w:noVBand="1"/>
      </w:tblPr>
      <w:tblGrid>
        <w:gridCol w:w="7683"/>
        <w:gridCol w:w="6567"/>
      </w:tblGrid>
      <w:tr w:rsidR="002E725F" w:rsidRPr="002E725F" w14:paraId="64B56B5C" w14:textId="77777777" w:rsidTr="002E725F">
        <w:tc>
          <w:tcPr>
            <w:tcW w:w="0" w:type="auto"/>
            <w:vAlign w:val="center"/>
            <w:hideMark/>
          </w:tcPr>
          <w:p w14:paraId="606C67C6"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Per = Perpetuity</w:t>
            </w:r>
          </w:p>
        </w:tc>
        <w:tc>
          <w:tcPr>
            <w:tcW w:w="0" w:type="auto"/>
            <w:vAlign w:val="center"/>
            <w:hideMark/>
          </w:tcPr>
          <w:p w14:paraId="39D61376"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n = Number of Periods</w:t>
            </w:r>
          </w:p>
        </w:tc>
      </w:tr>
      <w:tr w:rsidR="002E725F" w:rsidRPr="002E725F" w14:paraId="5BE2A660" w14:textId="77777777" w:rsidTr="002E725F">
        <w:tc>
          <w:tcPr>
            <w:tcW w:w="0" w:type="auto"/>
            <w:vAlign w:val="center"/>
            <w:hideMark/>
          </w:tcPr>
          <w:p w14:paraId="1EE48BEE"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CF = Cash Flow Payments</w:t>
            </w:r>
          </w:p>
        </w:tc>
        <w:tc>
          <w:tcPr>
            <w:tcW w:w="0" w:type="auto"/>
            <w:vAlign w:val="center"/>
            <w:hideMark/>
          </w:tcPr>
          <w:p w14:paraId="40D8E554"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r = Interest Rate</w:t>
            </w:r>
          </w:p>
        </w:tc>
      </w:tr>
    </w:tbl>
    <w:p w14:paraId="21158911"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Perpetuity</w:t>
      </w:r>
    </w:p>
    <w:p w14:paraId="523822FF"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i/>
          <w:iCs/>
          <w:color w:val="000000" w:themeColor="text1"/>
        </w:rPr>
        <w:t>Perpetuity</w:t>
      </w:r>
      <w:r w:rsidRPr="002E725F">
        <w:rPr>
          <w:rFonts w:ascii="Times New Roman" w:eastAsia="Times New Roman" w:hAnsi="Times New Roman" w:cs="Times New Roman"/>
          <w:color w:val="000000" w:themeColor="text1"/>
        </w:rPr>
        <w:t> means that payments will happen for an infinite amount of time. The present value of perpetuity is calculated as follows:</w:t>
      </w:r>
    </w:p>
    <w:p w14:paraId="4EA377F6"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Per = CF/r</w:t>
      </w:r>
    </w:p>
    <w:p w14:paraId="703E04B6"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Assume that you are to receive $10,000 annually. How much would you pay for a perpetuity with a required rate of return of 7%?</w:t>
      </w:r>
    </w:p>
    <w:p w14:paraId="1647ACFC"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Per = $10,000 / .07</w:t>
      </w:r>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Per = $142,857.14</w:t>
      </w:r>
    </w:p>
    <w:p w14:paraId="56C4048E"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Compounding </w:t>
      </w:r>
    </w:p>
    <w:p w14:paraId="38EFA097"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Pink and Song (2020) defined compounding as “the process of finding the future value of a lump sum, annuity, or series of unequal cash flows” (p. 664). We will now calculate FV using compounding with this equation:</w:t>
      </w:r>
    </w:p>
    <w:p w14:paraId="5BF09500"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FV = (PV)(1+r/</w:t>
      </w:r>
      <w:proofErr w:type="gramStart"/>
      <w:r w:rsidRPr="002E725F">
        <w:rPr>
          <w:rFonts w:ascii="Times New Roman" w:eastAsia="Times New Roman" w:hAnsi="Times New Roman" w:cs="Times New Roman"/>
          <w:b/>
          <w:bCs/>
          <w:color w:val="000000" w:themeColor="text1"/>
        </w:rPr>
        <w:t>n)</w:t>
      </w:r>
      <w:r w:rsidRPr="002E725F">
        <w:rPr>
          <w:rFonts w:ascii="Times New Roman" w:eastAsia="Times New Roman" w:hAnsi="Times New Roman" w:cs="Times New Roman"/>
          <w:b/>
          <w:bCs/>
          <w:color w:val="000000" w:themeColor="text1"/>
          <w:vertAlign w:val="superscript"/>
        </w:rPr>
        <w:t>t</w:t>
      </w:r>
      <w:proofErr w:type="gramEnd"/>
      <w:r w:rsidRPr="002E725F">
        <w:rPr>
          <w:rFonts w:ascii="Times New Roman" w:eastAsia="Times New Roman" w:hAnsi="Times New Roman" w:cs="Times New Roman"/>
          <w:b/>
          <w:bCs/>
          <w:color w:val="000000" w:themeColor="text1"/>
          <w:vertAlign w:val="superscript"/>
        </w:rPr>
        <w:t>*n</w:t>
      </w:r>
    </w:p>
    <w:p w14:paraId="3790FA2A"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Let’s assume that you are willing to invest $100 today at 5% for five years that compounds semiannually. How much money will you have at the end of each year?</w:t>
      </w:r>
    </w:p>
    <w:p w14:paraId="4FD9FCF1" w14:textId="77777777" w:rsidR="002E725F" w:rsidRPr="002E725F" w:rsidRDefault="002E725F" w:rsidP="002E725F">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b/>
          <w:bCs/>
          <w:color w:val="000000" w:themeColor="text1"/>
        </w:rPr>
        <w:t>FV= (</w:t>
      </w:r>
      <w:proofErr w:type="gramStart"/>
      <w:r w:rsidRPr="002E725F">
        <w:rPr>
          <w:rFonts w:ascii="Times New Roman" w:eastAsia="Times New Roman" w:hAnsi="Times New Roman" w:cs="Times New Roman"/>
          <w:b/>
          <w:bCs/>
          <w:color w:val="000000" w:themeColor="text1"/>
        </w:rPr>
        <w:t>100)(</w:t>
      </w:r>
      <w:proofErr w:type="gramEnd"/>
      <w:r w:rsidRPr="002E725F">
        <w:rPr>
          <w:rFonts w:ascii="Times New Roman" w:eastAsia="Times New Roman" w:hAnsi="Times New Roman" w:cs="Times New Roman"/>
          <w:b/>
          <w:bCs/>
          <w:color w:val="000000" w:themeColor="text1"/>
        </w:rPr>
        <w:t>1+.05/2)</w:t>
      </w:r>
      <w:r w:rsidRPr="002E725F">
        <w:rPr>
          <w:rFonts w:ascii="Times New Roman" w:eastAsia="Times New Roman" w:hAnsi="Times New Roman" w:cs="Times New Roman"/>
          <w:b/>
          <w:bCs/>
          <w:color w:val="000000" w:themeColor="text1"/>
          <w:vertAlign w:val="superscript"/>
        </w:rPr>
        <w:t>5*2</w:t>
      </w:r>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FV= (100)(1.28008)</w:t>
      </w:r>
      <w:r w:rsidRPr="002E725F">
        <w:rPr>
          <w:rFonts w:ascii="Times New Roman" w:eastAsia="Times New Roman" w:hAnsi="Times New Roman" w:cs="Times New Roman"/>
          <w:color w:val="000000" w:themeColor="text1"/>
        </w:rPr>
        <w:br/>
      </w:r>
      <w:r w:rsidRPr="002E725F">
        <w:rPr>
          <w:rFonts w:ascii="Times New Roman" w:eastAsia="Times New Roman" w:hAnsi="Times New Roman" w:cs="Times New Roman"/>
          <w:b/>
          <w:bCs/>
          <w:color w:val="000000" w:themeColor="text1"/>
        </w:rPr>
        <w:t>FV= 128.00</w:t>
      </w:r>
    </w:p>
    <w:p w14:paraId="543A8897" w14:textId="488FDCFF" w:rsidR="002E725F" w:rsidRPr="000B70A3" w:rsidRDefault="002E725F" w:rsidP="000B70A3">
      <w:pPr>
        <w:spacing w:before="100" w:beforeAutospacing="1" w:after="100" w:afterAutospacing="1"/>
        <w:rPr>
          <w:rFonts w:ascii="Times New Roman" w:eastAsia="Times New Roman" w:hAnsi="Times New Roman" w:cs="Times New Roman"/>
          <w:color w:val="000000" w:themeColor="text1"/>
        </w:rPr>
      </w:pPr>
      <w:r w:rsidRPr="002E725F">
        <w:rPr>
          <w:rFonts w:ascii="Times New Roman" w:eastAsia="Times New Roman" w:hAnsi="Times New Roman" w:cs="Times New Roman"/>
          <w:color w:val="000000" w:themeColor="text1"/>
        </w:rPr>
        <w:t>You will receive more on your investment if your investment compounds semiannually, quarterly, or monthly rather than annually. It is best to compound at the smallest equivalent, so monthly would result in the highest investment.</w:t>
      </w:r>
    </w:p>
    <w:p w14:paraId="30481512" w14:textId="77777777" w:rsidR="002E725F" w:rsidRPr="002E725F" w:rsidRDefault="002E725F" w:rsidP="002E725F">
      <w:pPr>
        <w:pStyle w:val="Heading2"/>
        <w:pBdr>
          <w:bottom w:val="single" w:sz="6" w:space="9" w:color="989898"/>
        </w:pBdr>
        <w:rPr>
          <w:color w:val="FF0000"/>
          <w:sz w:val="24"/>
          <w:szCs w:val="24"/>
        </w:rPr>
      </w:pPr>
      <w:r w:rsidRPr="002E725F">
        <w:rPr>
          <w:color w:val="FF0000"/>
          <w:sz w:val="24"/>
          <w:szCs w:val="24"/>
        </w:rPr>
        <w:t>3.</w:t>
      </w:r>
      <w:r w:rsidRPr="002E725F">
        <w:rPr>
          <w:rStyle w:val="apple-converted-space"/>
          <w:color w:val="FF0000"/>
          <w:sz w:val="24"/>
          <w:szCs w:val="24"/>
        </w:rPr>
        <w:t> </w:t>
      </w:r>
      <w:r w:rsidRPr="002E725F">
        <w:rPr>
          <w:color w:val="FF0000"/>
          <w:sz w:val="24"/>
          <w:szCs w:val="24"/>
        </w:rPr>
        <w:t>Cash Payback Theory</w:t>
      </w:r>
    </w:p>
    <w:p w14:paraId="585D2715" w14:textId="77777777" w:rsidR="002E725F" w:rsidRPr="002E725F" w:rsidRDefault="002E725F" w:rsidP="002E725F">
      <w:pPr>
        <w:pStyle w:val="NormalWeb"/>
        <w:rPr>
          <w:color w:val="000000" w:themeColor="text1"/>
        </w:rPr>
      </w:pPr>
      <w:r w:rsidRPr="002E725F">
        <w:rPr>
          <w:rStyle w:val="Emphasis"/>
          <w:color w:val="000000" w:themeColor="text1"/>
        </w:rPr>
        <w:t>Cash payback</w:t>
      </w:r>
      <w:r w:rsidRPr="002E725F">
        <w:rPr>
          <w:rStyle w:val="apple-converted-space"/>
          <w:color w:val="000000" w:themeColor="text1"/>
        </w:rPr>
        <w:t> </w:t>
      </w:r>
      <w:r w:rsidRPr="002E725F">
        <w:rPr>
          <w:color w:val="000000" w:themeColor="text1"/>
        </w:rPr>
        <w:t>is the amount of time that it takes to get your money back from the original purchase or investment. As a brief example, imagine that a hospital purchased a magnetic resonance imaging machine (MRI) for $1,000,000. The hospital would need to perform a specific number of procedures to make up for the original investment.</w:t>
      </w:r>
    </w:p>
    <w:p w14:paraId="08B13EC7" w14:textId="77777777" w:rsidR="002E725F" w:rsidRPr="002E725F" w:rsidRDefault="002E725F" w:rsidP="002E725F">
      <w:pPr>
        <w:pStyle w:val="NormalWeb"/>
        <w:rPr>
          <w:color w:val="000000" w:themeColor="text1"/>
        </w:rPr>
      </w:pPr>
      <w:r w:rsidRPr="002E725F">
        <w:rPr>
          <w:color w:val="000000" w:themeColor="text1"/>
        </w:rPr>
        <w:t>The cash payback method has several drawbacks, including the following:</w:t>
      </w:r>
    </w:p>
    <w:p w14:paraId="12C20C39" w14:textId="77777777" w:rsidR="002E725F" w:rsidRPr="002E725F" w:rsidRDefault="002E725F" w:rsidP="002E725F">
      <w:pPr>
        <w:numPr>
          <w:ilvl w:val="0"/>
          <w:numId w:val="1"/>
        </w:numPr>
        <w:spacing w:before="100" w:beforeAutospacing="1" w:after="100" w:afterAutospacing="1"/>
        <w:rPr>
          <w:rFonts w:ascii="Times New Roman" w:hAnsi="Times New Roman" w:cs="Times New Roman"/>
          <w:color w:val="000000" w:themeColor="text1"/>
        </w:rPr>
      </w:pPr>
      <w:r w:rsidRPr="002E725F">
        <w:rPr>
          <w:rFonts w:ascii="Times New Roman" w:hAnsi="Times New Roman" w:cs="Times New Roman"/>
          <w:color w:val="000000" w:themeColor="text1"/>
        </w:rPr>
        <w:lastRenderedPageBreak/>
        <w:t>It does not account for wear and tear on equipment.</w:t>
      </w:r>
    </w:p>
    <w:p w14:paraId="395B9577" w14:textId="77777777" w:rsidR="002E725F" w:rsidRPr="002E725F" w:rsidRDefault="002E725F" w:rsidP="002E725F">
      <w:pPr>
        <w:numPr>
          <w:ilvl w:val="0"/>
          <w:numId w:val="1"/>
        </w:numPr>
        <w:spacing w:before="100" w:beforeAutospacing="1" w:after="100" w:afterAutospacing="1"/>
        <w:rPr>
          <w:rFonts w:ascii="Times New Roman" w:hAnsi="Times New Roman" w:cs="Times New Roman"/>
          <w:color w:val="000000" w:themeColor="text1"/>
        </w:rPr>
      </w:pPr>
      <w:r w:rsidRPr="002E725F">
        <w:rPr>
          <w:rFonts w:ascii="Times New Roman" w:hAnsi="Times New Roman" w:cs="Times New Roman"/>
          <w:color w:val="000000" w:themeColor="text1"/>
        </w:rPr>
        <w:t>It does not account for variability in usage.</w:t>
      </w:r>
    </w:p>
    <w:p w14:paraId="0981B6E6" w14:textId="77777777" w:rsidR="002E725F" w:rsidRPr="002E725F" w:rsidRDefault="002E725F" w:rsidP="002E725F">
      <w:pPr>
        <w:numPr>
          <w:ilvl w:val="0"/>
          <w:numId w:val="1"/>
        </w:numPr>
        <w:spacing w:before="100" w:beforeAutospacing="1" w:after="100" w:afterAutospacing="1"/>
        <w:rPr>
          <w:rFonts w:ascii="Times New Roman" w:hAnsi="Times New Roman" w:cs="Times New Roman"/>
          <w:color w:val="000000" w:themeColor="text1"/>
        </w:rPr>
      </w:pPr>
      <w:r w:rsidRPr="002E725F">
        <w:rPr>
          <w:rFonts w:ascii="Times New Roman" w:hAnsi="Times New Roman" w:cs="Times New Roman"/>
          <w:color w:val="000000" w:themeColor="text1"/>
        </w:rPr>
        <w:t>It does not anticipate replacement by new technology. For example, imagine that the MRI machine that the hospital purchased in the previous example became outdated just a few months later when a new and improved model became available.</w:t>
      </w:r>
    </w:p>
    <w:p w14:paraId="50523FAA" w14:textId="77777777" w:rsidR="002E725F" w:rsidRPr="002E725F" w:rsidRDefault="002E725F" w:rsidP="002E725F">
      <w:pPr>
        <w:pStyle w:val="NormalWeb"/>
        <w:rPr>
          <w:color w:val="000000" w:themeColor="text1"/>
        </w:rPr>
      </w:pPr>
      <w:r w:rsidRPr="002E725F">
        <w:rPr>
          <w:color w:val="000000" w:themeColor="text1"/>
        </w:rPr>
        <w:t>Thus, the cash payback method should only be used for the most basic of financial decisions.</w:t>
      </w:r>
    </w:p>
    <w:p w14:paraId="7E6139BE" w14:textId="77777777" w:rsidR="002E725F" w:rsidRPr="002E725F" w:rsidRDefault="002E725F" w:rsidP="002E725F">
      <w:pPr>
        <w:pStyle w:val="NormalWeb"/>
        <w:rPr>
          <w:color w:val="000000" w:themeColor="text1"/>
        </w:rPr>
      </w:pPr>
      <w:r w:rsidRPr="002E725F">
        <w:rPr>
          <w:color w:val="000000" w:themeColor="text1"/>
        </w:rPr>
        <w:t>Purchasing should not be postponed due to the loss of purchasing power with money. However, it is critical to conduct thorough research before purchasing a large-expense item.</w:t>
      </w:r>
    </w:p>
    <w:p w14:paraId="72F117D2" w14:textId="7BBE0B15" w:rsidR="002E725F" w:rsidRPr="000B70A3" w:rsidRDefault="002E725F" w:rsidP="002E725F">
      <w:pPr>
        <w:pStyle w:val="NormalWeb"/>
        <w:rPr>
          <w:color w:val="000000" w:themeColor="text1"/>
        </w:rPr>
      </w:pPr>
      <w:r w:rsidRPr="002E725F">
        <w:rPr>
          <w:color w:val="000000" w:themeColor="text1"/>
        </w:rPr>
        <w:t>The variability in usage needs to be addressed as much as possible. According to Baker, Baker, and Dworkin (2018), the best thing to do when considering variability is to run three scenarios:</w:t>
      </w:r>
      <w:r w:rsidRPr="002E725F">
        <w:rPr>
          <w:rStyle w:val="apple-converted-space"/>
          <w:color w:val="000000" w:themeColor="text1"/>
        </w:rPr>
        <w:t> </w:t>
      </w:r>
      <w:r w:rsidRPr="002E725F">
        <w:rPr>
          <w:rStyle w:val="Emphasis"/>
          <w:color w:val="000000" w:themeColor="text1"/>
        </w:rPr>
        <w:t>best case</w:t>
      </w:r>
      <w:r w:rsidRPr="002E725F">
        <w:rPr>
          <w:color w:val="000000" w:themeColor="text1"/>
        </w:rPr>
        <w:t>,</w:t>
      </w:r>
      <w:r w:rsidRPr="002E725F">
        <w:rPr>
          <w:rStyle w:val="apple-converted-space"/>
          <w:color w:val="000000" w:themeColor="text1"/>
        </w:rPr>
        <w:t> </w:t>
      </w:r>
      <w:r w:rsidRPr="002E725F">
        <w:rPr>
          <w:rStyle w:val="Emphasis"/>
          <w:color w:val="000000" w:themeColor="text1"/>
        </w:rPr>
        <w:t>worst case</w:t>
      </w:r>
      <w:r w:rsidRPr="002E725F">
        <w:rPr>
          <w:color w:val="000000" w:themeColor="text1"/>
        </w:rPr>
        <w:t>, and</w:t>
      </w:r>
      <w:r w:rsidRPr="002E725F">
        <w:rPr>
          <w:rStyle w:val="apple-converted-space"/>
          <w:color w:val="000000" w:themeColor="text1"/>
        </w:rPr>
        <w:t> </w:t>
      </w:r>
      <w:r w:rsidRPr="002E725F">
        <w:rPr>
          <w:rStyle w:val="Emphasis"/>
          <w:color w:val="000000" w:themeColor="text1"/>
        </w:rPr>
        <w:t>most likely</w:t>
      </w:r>
      <w:r w:rsidRPr="002E725F">
        <w:rPr>
          <w:color w:val="000000" w:themeColor="text1"/>
        </w:rPr>
        <w:t xml:space="preserve">. If the most likely case is too skewed to either best or worst case, it is recommended to compute an average of the two to determine the mean. By utilizing the three scenarios, the financial manager has a much better understanding of the </w:t>
      </w:r>
      <w:r w:rsidRPr="000B70A3">
        <w:rPr>
          <w:color w:val="000000" w:themeColor="text1"/>
        </w:rPr>
        <w:t>cash payback time frame.</w:t>
      </w:r>
    </w:p>
    <w:p w14:paraId="44BC14F2" w14:textId="739B08F1" w:rsidR="000B70A3" w:rsidRPr="000B70A3" w:rsidRDefault="000B70A3" w:rsidP="000B70A3">
      <w:pPr>
        <w:rPr>
          <w:rFonts w:ascii="Times New Roman" w:eastAsia="Times New Roman" w:hAnsi="Times New Roman" w:cs="Times New Roman"/>
          <w:color w:val="000000" w:themeColor="text1"/>
        </w:rPr>
      </w:pPr>
      <w:r w:rsidRPr="000B70A3">
        <w:rPr>
          <w:rFonts w:ascii="Times New Roman" w:eastAsia="Times New Roman" w:hAnsi="Times New Roman" w:cs="Times New Roman"/>
          <w:i/>
          <w:iCs/>
          <w:color w:val="000000" w:themeColor="text1"/>
        </w:rPr>
        <w:t>Take a moment to watch a video on calculating the time value of money in Excel:</w:t>
      </w:r>
    </w:p>
    <w:p w14:paraId="6D6CA335" w14:textId="775DFFF6" w:rsidR="000B70A3" w:rsidRPr="000B70A3" w:rsidRDefault="000B70A3" w:rsidP="000B70A3">
      <w:pPr>
        <w:rPr>
          <w:rFonts w:ascii="Times New Roman" w:hAnsi="Times New Roman" w:cs="Times New Roman"/>
        </w:rPr>
      </w:pPr>
      <w:hyperlink r:id="rId7" w:history="1">
        <w:r w:rsidRPr="00373554">
          <w:rPr>
            <w:rStyle w:val="Hyperlink"/>
            <w:rFonts w:ascii="Times New Roman" w:hAnsi="Times New Roman" w:cs="Times New Roman"/>
          </w:rPr>
          <w:t>https://www.youtube.com/watch?v=aXJUsC7ABP0</w:t>
        </w:r>
      </w:hyperlink>
      <w:r>
        <w:rPr>
          <w:rFonts w:ascii="Times New Roman" w:hAnsi="Times New Roman" w:cs="Times New Roman"/>
        </w:rPr>
        <w:t xml:space="preserve"> </w:t>
      </w:r>
    </w:p>
    <w:p w14:paraId="58CD17EA" w14:textId="6C316F09" w:rsidR="002E725F" w:rsidRDefault="002E725F">
      <w:pPr>
        <w:rPr>
          <w:color w:val="000000" w:themeColor="text1"/>
        </w:rPr>
      </w:pPr>
    </w:p>
    <w:p w14:paraId="31306FC5" w14:textId="77777777" w:rsidR="000B70A3" w:rsidRPr="000B70A3" w:rsidRDefault="000B70A3" w:rsidP="000B70A3">
      <w:pPr>
        <w:pStyle w:val="Heading2"/>
        <w:pBdr>
          <w:bottom w:val="single" w:sz="6" w:space="9" w:color="989898"/>
        </w:pBdr>
        <w:rPr>
          <w:color w:val="FF0000"/>
          <w:sz w:val="24"/>
          <w:szCs w:val="24"/>
        </w:rPr>
      </w:pPr>
      <w:r w:rsidRPr="000B70A3">
        <w:rPr>
          <w:color w:val="FF0000"/>
          <w:sz w:val="24"/>
          <w:szCs w:val="24"/>
        </w:rPr>
        <w:t>4.</w:t>
      </w:r>
      <w:r w:rsidRPr="000B70A3">
        <w:rPr>
          <w:rStyle w:val="apple-converted-space"/>
          <w:color w:val="FF0000"/>
          <w:sz w:val="24"/>
          <w:szCs w:val="24"/>
        </w:rPr>
        <w:t> </w:t>
      </w:r>
      <w:r w:rsidRPr="000B70A3">
        <w:rPr>
          <w:color w:val="FF0000"/>
          <w:sz w:val="24"/>
          <w:szCs w:val="24"/>
        </w:rPr>
        <w:t>Evaluations</w:t>
      </w:r>
    </w:p>
    <w:p w14:paraId="2A3CA299" w14:textId="77777777" w:rsidR="000B70A3" w:rsidRPr="000B70A3" w:rsidRDefault="000B70A3" w:rsidP="000B70A3">
      <w:pPr>
        <w:pStyle w:val="NormalWeb"/>
        <w:rPr>
          <w:color w:val="000000" w:themeColor="text1"/>
        </w:rPr>
      </w:pPr>
      <w:r w:rsidRPr="000B70A3">
        <w:rPr>
          <w:color w:val="000000" w:themeColor="text1"/>
        </w:rPr>
        <w:t>A healthcare organization is best served by a manager who understands that money in the bank that is not invested will ultimately lose value over time. Most bank accounts do not pay a percentage rate that is high enough to compensate for the loss incurred by inflation. As such, the organization needs to invest its money wisely.</w:t>
      </w:r>
    </w:p>
    <w:p w14:paraId="73368CBD" w14:textId="77777777" w:rsidR="000B70A3" w:rsidRPr="000B70A3" w:rsidRDefault="000B70A3" w:rsidP="000B70A3">
      <w:pPr>
        <w:pStyle w:val="NormalWeb"/>
        <w:rPr>
          <w:color w:val="000000" w:themeColor="text1"/>
        </w:rPr>
      </w:pPr>
      <w:r w:rsidRPr="000B70A3">
        <w:rPr>
          <w:color w:val="000000" w:themeColor="text1"/>
        </w:rPr>
        <w:t>Determining the time to invest and what to invest in is a necessary process. Resources within the healthcare organization are scarce and the organization needs to ensure that those tasked with investing do so in a judicious manner. When making such decisions, it is imperative that the organization use a consistent approach.</w:t>
      </w:r>
    </w:p>
    <w:p w14:paraId="0EC2219A" w14:textId="77777777" w:rsidR="000B70A3" w:rsidRPr="000B70A3" w:rsidRDefault="000B70A3" w:rsidP="000B70A3">
      <w:pPr>
        <w:pStyle w:val="NormalWeb"/>
        <w:rPr>
          <w:color w:val="000000" w:themeColor="text1"/>
        </w:rPr>
      </w:pPr>
      <w:r w:rsidRPr="000B70A3">
        <w:rPr>
          <w:color w:val="000000" w:themeColor="text1"/>
        </w:rPr>
        <w:t>As an example, if the organization uses the cash payback method, this same approach should be utilized across the board. Managers must understand how to conduct whichever method is chosen. The evaluation process needs to be easily understood concerning the inputs, outputs, and how the calculations were derived. Making a purchase decision too complex does not serve the organization well, especially as it relates to the checks and balances that are so critical in today’s healthcare environment.</w:t>
      </w:r>
    </w:p>
    <w:p w14:paraId="3F7D910C" w14:textId="77777777" w:rsidR="000B70A3" w:rsidRPr="002E725F" w:rsidRDefault="000B70A3">
      <w:pPr>
        <w:rPr>
          <w:color w:val="000000" w:themeColor="text1"/>
        </w:rPr>
      </w:pPr>
    </w:p>
    <w:sectPr w:rsidR="000B70A3" w:rsidRPr="002E725F" w:rsidSect="003D0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2406A"/>
    <w:multiLevelType w:val="multilevel"/>
    <w:tmpl w:val="B3D4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25F"/>
    <w:rsid w:val="000B70A3"/>
    <w:rsid w:val="002E725F"/>
    <w:rsid w:val="003D0CDF"/>
    <w:rsid w:val="00777052"/>
    <w:rsid w:val="00A958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958933D"/>
  <w15:chartTrackingRefBased/>
  <w15:docId w15:val="{17BC1062-744D-3240-B264-DFED849FB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E725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E725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2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E725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2E725F"/>
    <w:rPr>
      <w:color w:val="0000FF"/>
      <w:u w:val="single"/>
    </w:rPr>
  </w:style>
  <w:style w:type="character" w:customStyle="1" w:styleId="apple-converted-space">
    <w:name w:val="apple-converted-space"/>
    <w:basedOn w:val="DefaultParagraphFont"/>
    <w:rsid w:val="002E725F"/>
  </w:style>
  <w:style w:type="paragraph" w:styleId="NormalWeb">
    <w:name w:val="Normal (Web)"/>
    <w:basedOn w:val="Normal"/>
    <w:uiPriority w:val="99"/>
    <w:semiHidden/>
    <w:unhideWhenUsed/>
    <w:rsid w:val="002E725F"/>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E725F"/>
    <w:rPr>
      <w:i/>
      <w:iCs/>
    </w:rPr>
  </w:style>
  <w:style w:type="character" w:styleId="Strong">
    <w:name w:val="Strong"/>
    <w:basedOn w:val="DefaultParagraphFont"/>
    <w:uiPriority w:val="22"/>
    <w:qFormat/>
    <w:rsid w:val="002E725F"/>
    <w:rPr>
      <w:b/>
      <w:bCs/>
    </w:rPr>
  </w:style>
  <w:style w:type="character" w:customStyle="1" w:styleId="mjx-char">
    <w:name w:val="mjx-char"/>
    <w:basedOn w:val="DefaultParagraphFont"/>
    <w:rsid w:val="002E725F"/>
  </w:style>
  <w:style w:type="character" w:styleId="UnresolvedMention">
    <w:name w:val="Unresolved Mention"/>
    <w:basedOn w:val="DefaultParagraphFont"/>
    <w:uiPriority w:val="99"/>
    <w:semiHidden/>
    <w:unhideWhenUsed/>
    <w:rsid w:val="000B7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80356">
      <w:bodyDiv w:val="1"/>
      <w:marLeft w:val="0"/>
      <w:marRight w:val="0"/>
      <w:marTop w:val="0"/>
      <w:marBottom w:val="0"/>
      <w:divBdr>
        <w:top w:val="none" w:sz="0" w:space="0" w:color="auto"/>
        <w:left w:val="none" w:sz="0" w:space="0" w:color="auto"/>
        <w:bottom w:val="none" w:sz="0" w:space="0" w:color="auto"/>
        <w:right w:val="none" w:sz="0" w:space="0" w:color="auto"/>
      </w:divBdr>
    </w:div>
    <w:div w:id="397441818">
      <w:bodyDiv w:val="1"/>
      <w:marLeft w:val="0"/>
      <w:marRight w:val="0"/>
      <w:marTop w:val="0"/>
      <w:marBottom w:val="0"/>
      <w:divBdr>
        <w:top w:val="none" w:sz="0" w:space="0" w:color="auto"/>
        <w:left w:val="none" w:sz="0" w:space="0" w:color="auto"/>
        <w:bottom w:val="none" w:sz="0" w:space="0" w:color="auto"/>
        <w:right w:val="none" w:sz="0" w:space="0" w:color="auto"/>
      </w:divBdr>
    </w:div>
    <w:div w:id="739907738">
      <w:bodyDiv w:val="1"/>
      <w:marLeft w:val="0"/>
      <w:marRight w:val="0"/>
      <w:marTop w:val="0"/>
      <w:marBottom w:val="0"/>
      <w:divBdr>
        <w:top w:val="none" w:sz="0" w:space="0" w:color="auto"/>
        <w:left w:val="none" w:sz="0" w:space="0" w:color="auto"/>
        <w:bottom w:val="none" w:sz="0" w:space="0" w:color="auto"/>
        <w:right w:val="none" w:sz="0" w:space="0" w:color="auto"/>
      </w:divBdr>
    </w:div>
    <w:div w:id="784231737">
      <w:bodyDiv w:val="1"/>
      <w:marLeft w:val="0"/>
      <w:marRight w:val="0"/>
      <w:marTop w:val="0"/>
      <w:marBottom w:val="0"/>
      <w:divBdr>
        <w:top w:val="none" w:sz="0" w:space="0" w:color="auto"/>
        <w:left w:val="none" w:sz="0" w:space="0" w:color="auto"/>
        <w:bottom w:val="none" w:sz="0" w:space="0" w:color="auto"/>
        <w:right w:val="none" w:sz="0" w:space="0" w:color="auto"/>
      </w:divBdr>
    </w:div>
    <w:div w:id="893547519">
      <w:bodyDiv w:val="1"/>
      <w:marLeft w:val="0"/>
      <w:marRight w:val="0"/>
      <w:marTop w:val="0"/>
      <w:marBottom w:val="0"/>
      <w:divBdr>
        <w:top w:val="none" w:sz="0" w:space="0" w:color="auto"/>
        <w:left w:val="none" w:sz="0" w:space="0" w:color="auto"/>
        <w:bottom w:val="none" w:sz="0" w:space="0" w:color="auto"/>
        <w:right w:val="none" w:sz="0" w:space="0" w:color="auto"/>
      </w:divBdr>
    </w:div>
    <w:div w:id="1296446283">
      <w:bodyDiv w:val="1"/>
      <w:marLeft w:val="0"/>
      <w:marRight w:val="0"/>
      <w:marTop w:val="0"/>
      <w:marBottom w:val="0"/>
      <w:divBdr>
        <w:top w:val="none" w:sz="0" w:space="0" w:color="auto"/>
        <w:left w:val="none" w:sz="0" w:space="0" w:color="auto"/>
        <w:bottom w:val="none" w:sz="0" w:space="0" w:color="auto"/>
        <w:right w:val="none" w:sz="0" w:space="0" w:color="auto"/>
      </w:divBdr>
    </w:div>
    <w:div w:id="1370179430">
      <w:bodyDiv w:val="1"/>
      <w:marLeft w:val="0"/>
      <w:marRight w:val="0"/>
      <w:marTop w:val="0"/>
      <w:marBottom w:val="0"/>
      <w:divBdr>
        <w:top w:val="none" w:sz="0" w:space="0" w:color="auto"/>
        <w:left w:val="none" w:sz="0" w:space="0" w:color="auto"/>
        <w:bottom w:val="none" w:sz="0" w:space="0" w:color="auto"/>
        <w:right w:val="none" w:sz="0" w:space="0" w:color="auto"/>
      </w:divBdr>
    </w:div>
    <w:div w:id="1436710902">
      <w:bodyDiv w:val="1"/>
      <w:marLeft w:val="0"/>
      <w:marRight w:val="0"/>
      <w:marTop w:val="0"/>
      <w:marBottom w:val="0"/>
      <w:divBdr>
        <w:top w:val="none" w:sz="0" w:space="0" w:color="auto"/>
        <w:left w:val="none" w:sz="0" w:space="0" w:color="auto"/>
        <w:bottom w:val="none" w:sz="0" w:space="0" w:color="auto"/>
        <w:right w:val="none" w:sz="0" w:space="0" w:color="auto"/>
      </w:divBdr>
      <w:divsChild>
        <w:div w:id="1934432641">
          <w:marLeft w:val="0"/>
          <w:marRight w:val="0"/>
          <w:marTop w:val="0"/>
          <w:marBottom w:val="360"/>
          <w:divBdr>
            <w:top w:val="single" w:sz="6" w:space="0" w:color="DDDDDD"/>
            <w:left w:val="single" w:sz="6" w:space="0" w:color="DDDDDD"/>
            <w:bottom w:val="single" w:sz="6" w:space="0" w:color="DDDDDD"/>
            <w:right w:val="single" w:sz="6" w:space="0" w:color="DDDDDD"/>
          </w:divBdr>
        </w:div>
        <w:div w:id="804854901">
          <w:marLeft w:val="0"/>
          <w:marRight w:val="0"/>
          <w:marTop w:val="0"/>
          <w:marBottom w:val="360"/>
          <w:divBdr>
            <w:top w:val="single" w:sz="6" w:space="0" w:color="DDDDDD"/>
            <w:left w:val="single" w:sz="6" w:space="0" w:color="DDDDDD"/>
            <w:bottom w:val="single" w:sz="6" w:space="0" w:color="DDDDDD"/>
            <w:right w:val="single" w:sz="6" w:space="0" w:color="DDDDDD"/>
          </w:divBdr>
        </w:div>
      </w:divsChild>
    </w:div>
    <w:div w:id="1545020785">
      <w:bodyDiv w:val="1"/>
      <w:marLeft w:val="0"/>
      <w:marRight w:val="0"/>
      <w:marTop w:val="0"/>
      <w:marBottom w:val="0"/>
      <w:divBdr>
        <w:top w:val="none" w:sz="0" w:space="0" w:color="auto"/>
        <w:left w:val="none" w:sz="0" w:space="0" w:color="auto"/>
        <w:bottom w:val="none" w:sz="0" w:space="0" w:color="auto"/>
        <w:right w:val="none" w:sz="0" w:space="0" w:color="auto"/>
      </w:divBdr>
      <w:divsChild>
        <w:div w:id="1529176159">
          <w:marLeft w:val="0"/>
          <w:marRight w:val="0"/>
          <w:marTop w:val="0"/>
          <w:marBottom w:val="360"/>
          <w:divBdr>
            <w:top w:val="single" w:sz="6" w:space="0" w:color="DDDDDD"/>
            <w:left w:val="single" w:sz="6" w:space="0" w:color="DDDDDD"/>
            <w:bottom w:val="single" w:sz="6" w:space="0" w:color="DDDDDD"/>
            <w:right w:val="single" w:sz="6" w:space="0" w:color="DDDDDD"/>
          </w:divBdr>
        </w:div>
        <w:div w:id="773596852">
          <w:marLeft w:val="0"/>
          <w:marRight w:val="0"/>
          <w:marTop w:val="0"/>
          <w:marBottom w:val="360"/>
          <w:divBdr>
            <w:top w:val="single" w:sz="6" w:space="0" w:color="DDDDDD"/>
            <w:left w:val="single" w:sz="6" w:space="0" w:color="DDDDDD"/>
            <w:bottom w:val="single" w:sz="6" w:space="0" w:color="DDDDDD"/>
            <w:right w:val="single" w:sz="6" w:space="0" w:color="DDDDDD"/>
          </w:divBdr>
        </w:div>
      </w:divsChild>
    </w:div>
    <w:div w:id="1621109637">
      <w:bodyDiv w:val="1"/>
      <w:marLeft w:val="0"/>
      <w:marRight w:val="0"/>
      <w:marTop w:val="0"/>
      <w:marBottom w:val="0"/>
      <w:divBdr>
        <w:top w:val="none" w:sz="0" w:space="0" w:color="auto"/>
        <w:left w:val="none" w:sz="0" w:space="0" w:color="auto"/>
        <w:bottom w:val="none" w:sz="0" w:space="0" w:color="auto"/>
        <w:right w:val="none" w:sz="0" w:space="0" w:color="auto"/>
      </w:divBdr>
    </w:div>
    <w:div w:id="1759594377">
      <w:bodyDiv w:val="1"/>
      <w:marLeft w:val="0"/>
      <w:marRight w:val="0"/>
      <w:marTop w:val="0"/>
      <w:marBottom w:val="0"/>
      <w:divBdr>
        <w:top w:val="none" w:sz="0" w:space="0" w:color="auto"/>
        <w:left w:val="none" w:sz="0" w:space="0" w:color="auto"/>
        <w:bottom w:val="none" w:sz="0" w:space="0" w:color="auto"/>
        <w:right w:val="none" w:sz="0" w:space="0" w:color="auto"/>
      </w:divBdr>
    </w:div>
    <w:div w:id="1781295672">
      <w:bodyDiv w:val="1"/>
      <w:marLeft w:val="0"/>
      <w:marRight w:val="0"/>
      <w:marTop w:val="0"/>
      <w:marBottom w:val="0"/>
      <w:divBdr>
        <w:top w:val="none" w:sz="0" w:space="0" w:color="auto"/>
        <w:left w:val="none" w:sz="0" w:space="0" w:color="auto"/>
        <w:bottom w:val="none" w:sz="0" w:space="0" w:color="auto"/>
        <w:right w:val="none" w:sz="0" w:space="0" w:color="auto"/>
      </w:divBdr>
      <w:divsChild>
        <w:div w:id="1136217614">
          <w:marLeft w:val="0"/>
          <w:marRight w:val="0"/>
          <w:marTop w:val="0"/>
          <w:marBottom w:val="0"/>
          <w:divBdr>
            <w:top w:val="none" w:sz="0" w:space="0" w:color="auto"/>
            <w:left w:val="none" w:sz="0" w:space="0" w:color="auto"/>
            <w:bottom w:val="none" w:sz="0" w:space="0" w:color="auto"/>
            <w:right w:val="none" w:sz="0" w:space="0" w:color="auto"/>
          </w:divBdr>
        </w:div>
        <w:div w:id="2105108930">
          <w:marLeft w:val="0"/>
          <w:marRight w:val="0"/>
          <w:marTop w:val="360"/>
          <w:marBottom w:val="360"/>
          <w:divBdr>
            <w:top w:val="none" w:sz="0" w:space="0" w:color="auto"/>
            <w:left w:val="none" w:sz="0" w:space="0" w:color="auto"/>
            <w:bottom w:val="none" w:sz="0" w:space="0" w:color="auto"/>
            <w:right w:val="none" w:sz="0" w:space="0" w:color="auto"/>
          </w:divBdr>
        </w:div>
      </w:divsChild>
    </w:div>
    <w:div w:id="1857228879">
      <w:bodyDiv w:val="1"/>
      <w:marLeft w:val="0"/>
      <w:marRight w:val="0"/>
      <w:marTop w:val="0"/>
      <w:marBottom w:val="0"/>
      <w:divBdr>
        <w:top w:val="none" w:sz="0" w:space="0" w:color="auto"/>
        <w:left w:val="none" w:sz="0" w:space="0" w:color="auto"/>
        <w:bottom w:val="none" w:sz="0" w:space="0" w:color="auto"/>
        <w:right w:val="none" w:sz="0" w:space="0" w:color="auto"/>
      </w:divBdr>
    </w:div>
    <w:div w:id="1927112893">
      <w:bodyDiv w:val="1"/>
      <w:marLeft w:val="0"/>
      <w:marRight w:val="0"/>
      <w:marTop w:val="0"/>
      <w:marBottom w:val="0"/>
      <w:divBdr>
        <w:top w:val="none" w:sz="0" w:space="0" w:color="auto"/>
        <w:left w:val="none" w:sz="0" w:space="0" w:color="auto"/>
        <w:bottom w:val="none" w:sz="0" w:space="0" w:color="auto"/>
        <w:right w:val="none" w:sz="0" w:space="0" w:color="auto"/>
      </w:divBdr>
    </w:div>
    <w:div w:id="211204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aXJUsC7ABP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countingexplanation.com/future_value_of_ordinary_annuity_table.htm" TargetMode="External"/><Relationship Id="rId5" Type="http://schemas.openxmlformats.org/officeDocument/2006/relationships/hyperlink" Target="https://www.accountingtools.com/articles/2017/5/17/present-value-of-1-tabl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1824</Words>
  <Characters>10400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MOHAMMAD FAHAD ALSWAYEH</dc:creator>
  <cp:keywords/>
  <dc:description/>
  <cp:lastModifiedBy>KHALED MOHAMMAD FAHAD ALSWAYEH</cp:lastModifiedBy>
  <cp:revision>1</cp:revision>
  <dcterms:created xsi:type="dcterms:W3CDTF">2021-09-19T07:14:00Z</dcterms:created>
  <dcterms:modified xsi:type="dcterms:W3CDTF">2021-09-19T07:27:00Z</dcterms:modified>
</cp:coreProperties>
</file>